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Natural Language Processing Assignment 2</w:t>
      </w:r>
    </w:p>
    <w:p>
      <w:pPr>
        <w:spacing w:after="200"/>
        <w:jc w:val="center"/>
      </w:pPr>
      <w:r>
        <w:rPr>
          <w:sz w:val="9pt"/>
          <w:szCs w:val="9pt"/>
          <w:color w:val="000000"/>
        </w:rPr>
        <w:t>University of Mumbai</w:t>
      </w:r>
    </w:p>
    <w:p>
      <w:pPr>
        <w:spacing w:line="276" w:lineRule="auto" w:after="60"/>
      </w:pPr>
      <w:r>
        <w:rPr>
          <w:b/>
          <w:sz w:val="9pt"/>
          <w:szCs w:val="9pt"/>
          <w:color w:val="000000"/>
        </w:rPr>
        <w:t xml:space="preserve">Name: </w:t>
      </w:r>
      <w:r>
        <w:rPr>
          <w:sz w:val="9pt"/>
          <w:szCs w:val="9pt"/>
          <w:color w:val="000000"/>
        </w:rPr>
        <w:t>Ansari Jafeer</w:t>
      </w:r>
    </w:p>
    <w:p>
      <w:pPr>
        <w:spacing w:line="276" w:lineRule="auto" w:after="60"/>
      </w:pPr>
      <w:r>
        <w:rPr>
          <w:b/>
          <w:sz w:val="9pt"/>
          <w:szCs w:val="9pt"/>
          <w:color w:val="000000"/>
        </w:rPr>
        <w:t xml:space="preserve">UIN: </w:t>
      </w:r>
      <w:r>
        <w:rPr>
          <w:sz w:val="9pt"/>
          <w:szCs w:val="9pt"/>
          <w:color w:val="000000"/>
        </w:rPr>
        <w:t>231A022</w:t>
      </w:r>
    </w:p>
    <w:p>
      <w:pPr>
        <w:spacing w:line="276" w:lineRule="auto" w:after="60"/>
      </w:pPr>
      <w:r>
        <w:rPr>
          <w:b/>
          <w:sz w:val="9pt"/>
          <w:szCs w:val="9pt"/>
          <w:color w:val="000000"/>
        </w:rPr>
        <w:t xml:space="preserve">Roll No.: </w:t>
      </w:r>
      <w:r>
        <w:rPr>
          <w:sz w:val="9pt"/>
          <w:szCs w:val="9pt"/>
          <w:color w:val="000000"/>
        </w:rPr>
        <w:t>03</w:t>
      </w:r>
    </w:p>
    <w:p>
      <w:pPr>
        <w:spacing w:line="276" w:lineRule="auto" w:after="60"/>
      </w:pPr>
      <w:r>
        <w:rPr>
          <w:b/>
          <w:sz w:val="9pt"/>
          <w:szCs w:val="9pt"/>
          <w:color w:val="000000"/>
        </w:rPr>
        <w:t xml:space="preserve">Subject: </w:t>
      </w:r>
      <w:r>
        <w:rPr>
          <w:sz w:val="9pt"/>
          <w:szCs w:val="9pt"/>
          <w:color w:val="000000"/>
        </w:rPr>
        <w:t>Natural Language Processing</w:t>
      </w:r>
    </w:p>
    <w:p>
      <w:pPr>
        <w:spacing w:line="276" w:lineRule="auto" w:after="60"/>
      </w:pPr>
      <w:r>
        <w:rPr>
          <w:b/>
          <w:sz w:val="9pt"/>
          <w:szCs w:val="9pt"/>
          <w:color w:val="000000"/>
        </w:rPr>
        <w:t xml:space="preserve">Total marks: </w:t>
      </w:r>
      <w:r>
        <w:rPr>
          <w:sz w:val="9pt"/>
          <w:szCs w:val="9pt"/>
          <w:color w:val="000000"/>
        </w:rPr>
        <w:t>10</w:t>
      </w:r>
    </w:p>
    <w:p>
      <w:pPr>
        <w:spacing w:before="180"/>
      </w:pPr>
      <w:r>
        <w:rPr>
          <w:sz w:val="9pt"/>
          <w:szCs w:val="9pt"/>
          <w:color w:val="000000"/>
        </w:rPr>
        <w:t>This assignment explains lexical ambiguity, word sense disambiguation and anaphora resolution through the given sentences and NLP methods.</w:t>
      </w:r>
    </w:p>
    <w:p>
      <w:pPr>
        <w:pStyle w:val="Heading1"/>
      </w:pPr>
      <w:r>
        <w:rPr>
          <w:sz w:val="11.25pt"/>
          <w:szCs w:val="11.25pt"/>
          <w:color w:val="000000"/>
          <w:b w:val="1"/>
        </w:rPr>
        <w:t>Q1 Given the sentence</w:t>
      </w:r>
    </w:p>
    <w:p>
      <w:r>
        <w:rPr>
          <w:i/>
          <w:sz w:val="9pt"/>
          <w:szCs w:val="9pt"/>
          <w:color w:val="000000"/>
        </w:rPr>
        <w:t>"The bank will not open until the river recedes."</w:t>
      </w:r>
    </w:p>
    <w:p>
      <w:r>
        <w:rPr>
          <w:sz w:val="9pt"/>
          <w:szCs w:val="9pt"/>
          <w:color w:val="000000"/>
        </w:rPr>
        <w:t>CO3  |  Level AP  |  3 marks</w:t>
      </w:r>
    </w:p>
    <w:p>
      <w:pPr>
        <w:pStyle w:val="Heading2"/>
      </w:pPr>
      <w:r>
        <w:rPr>
          <w:sz w:val="11.25pt"/>
          <w:szCs w:val="11.25pt"/>
          <w:color w:val="000000"/>
          <w:b w:val="1"/>
        </w:rPr>
        <w:t>Q1 (a) Identify and explain the type of lexical ambiguity present.</w:t>
      </w:r>
    </w:p>
    <w:p>
      <w:r>
        <w:rPr>
          <w:b/>
          <w:sz w:val="9pt"/>
          <w:szCs w:val="9pt"/>
          <w:color w:val="000000"/>
        </w:rPr>
        <w:t xml:space="preserve">Answer. </w:t>
      </w:r>
      <w:r>
        <w:rPr>
          <w:sz w:val="9pt"/>
          <w:szCs w:val="9pt"/>
          <w:color w:val="000000"/>
        </w:rPr>
        <w:t>Lexical ambiguity occurs when a word has more than one possible meaning in a sentence. Here, the ambiguous word is "bank". The relevant type is homonymy because its financial and geographical meanings are unrelated.</w:t>
      </w:r>
    </w:p>
    <w:p>
      <w:pPr>
        <w:ind w:left="259" w:hanging="259"/>
      </w:pPr>
      <w:r>
        <w:rPr>
          <w:b/>
          <w:sz w:val="9pt"/>
          <w:szCs w:val="9pt"/>
          <w:color w:val="000000"/>
        </w:rPr>
        <w:t xml:space="preserve">1. Financial meaning. </w:t>
      </w:r>
      <w:r>
        <w:rPr>
          <w:sz w:val="9pt"/>
          <w:szCs w:val="9pt"/>
          <w:color w:val="000000"/>
        </w:rPr>
        <w:t>A bank is an institution that provides services such as deposits and loans. Under this reading, the sentence says that a bank branch will remain closed until the floodwater goes down.</w:t>
      </w:r>
    </w:p>
    <w:p>
      <w:pPr>
        <w:ind w:left="259" w:hanging="259"/>
      </w:pPr>
      <w:r>
        <w:rPr>
          <w:b/>
          <w:sz w:val="9pt"/>
          <w:szCs w:val="9pt"/>
          <w:color w:val="000000"/>
        </w:rPr>
        <w:t xml:space="preserve">2. Geographical meaning. </w:t>
      </w:r>
      <w:r>
        <w:rPr>
          <w:sz w:val="9pt"/>
          <w:szCs w:val="9pt"/>
          <w:color w:val="000000"/>
        </w:rPr>
        <w:t>A bank is the land along the edge of a river. The mention of a river makes this meaning available, although saying that such land will "open" needs an extra assumption, such as reopening access to that area.</w:t>
      </w:r>
    </w:p>
    <w:p>
      <w:r>
        <w:rPr>
          <w:sz w:val="9pt"/>
          <w:szCs w:val="9pt"/>
          <w:color w:val="000000"/>
        </w:rPr>
        <w:t>The financial reading is more natural because a business normally opens and closes. However, the sentence contains clues for both senses. Choosing a meaning requires attention to the whole sentence rather than just the nearby noun "river".</w:t>
      </w:r>
    </w:p>
    <w:p>
      <w:pPr>
        <w:pStyle w:val="Heading2"/>
      </w:pPr>
      <w:r>
        <w:rPr>
          <w:sz w:val="11.25pt"/>
          <w:szCs w:val="11.25pt"/>
          <w:color w:val="000000"/>
          <w:b w:val="1"/>
        </w:rPr>
        <w:t>Q1 (b) Suggest how WordNet or BabelNet could help resolve this ambiguity.</w:t>
      </w:r>
    </w:p>
    <w:p>
      <w:r>
        <w:rPr>
          <w:b/>
          <w:sz w:val="9pt"/>
          <w:szCs w:val="9pt"/>
          <w:color w:val="000000"/>
        </w:rPr>
        <w:t xml:space="preserve">Answer. </w:t>
      </w:r>
      <w:r>
        <w:rPr>
          <w:sz w:val="9pt"/>
          <w:szCs w:val="9pt"/>
          <w:color w:val="000000"/>
        </w:rPr>
        <w:t>WordNet can provide the candidate meanings of "bank" as separate synsets. A synset groups words that express the same concept and includes a short definition, called a gloss [1]. A WSD system can use this information as follows.</w:t>
      </w:r>
    </w:p>
    <w:p>
      <w:pPr>
        <w:ind w:left="259" w:hanging="259"/>
      </w:pPr>
      <w:r>
        <w:rPr>
          <w:b/>
          <w:sz w:val="9pt"/>
          <w:szCs w:val="9pt"/>
          <w:color w:val="000000"/>
        </w:rPr>
        <w:t xml:space="preserve">1. Retrieve the senses. </w:t>
      </w:r>
      <w:r>
        <w:rPr>
          <w:sz w:val="9pt"/>
          <w:szCs w:val="9pt"/>
          <w:color w:val="000000"/>
        </w:rPr>
        <w:t>Obtain the financial-institution sense and the river-edge sense, along with their definitions and related concepts.</w:t>
      </w:r>
    </w:p>
    <w:p>
      <w:pPr>
        <w:ind w:left="259" w:hanging="259"/>
      </w:pPr>
      <w:r>
        <w:rPr>
          <w:b/>
          <w:sz w:val="9pt"/>
          <w:szCs w:val="9pt"/>
          <w:color w:val="000000"/>
        </w:rPr>
        <w:t xml:space="preserve">2. Compare the context. </w:t>
      </w:r>
      <w:r>
        <w:rPr>
          <w:sz w:val="9pt"/>
          <w:szCs w:val="9pt"/>
          <w:color w:val="000000"/>
        </w:rPr>
        <w:t>Check how the words in the sentence relate to each sense. "River" supports the geographical meaning, while "will not open" supports the interpretation of an operating business.</w:t>
      </w:r>
    </w:p>
    <w:p>
      <w:pPr>
        <w:ind w:left="259" w:hanging="259"/>
      </w:pPr>
      <w:r>
        <w:rPr>
          <w:b/>
          <w:sz w:val="9pt"/>
          <w:szCs w:val="9pt"/>
          <w:color w:val="000000"/>
        </w:rPr>
        <w:t xml:space="preserve">3. Choose a coherent interpretation. </w:t>
      </w:r>
      <w:r>
        <w:rPr>
          <w:sz w:val="9pt"/>
          <w:szCs w:val="9pt"/>
          <w:color w:val="000000"/>
        </w:rPr>
        <w:t>Use the full context to judge which sense makes the sentence meaningful. Knowledge that flooding can temporarily close a bank branch supports the financial reading.</w:t>
      </w:r>
    </w:p>
    <w:p>
      <w:r>
        <w:rPr>
          <w:sz w:val="9pt"/>
          <w:szCs w:val="9pt"/>
          <w:color w:val="000000"/>
        </w:rPr>
        <w:t>WordNet supplies lexical knowledge. A disambiguation algorithm must still interpret the context and select a sense. A simple count of related words could favour "riverbank" even when that reading is less natural.</w:t>
      </w:r>
    </w:p>
    <w:p>
      <w:pPr>
        <w:pStyle w:val="Heading2"/>
      </w:pPr>
      <w:r>
        <w:rPr>
          <w:sz w:val="11.25pt"/>
          <w:szCs w:val="11.25pt"/>
          <w:color w:val="000000"/>
          <w:b w:val="1"/>
        </w:rPr>
        <w:t>Q1 (c) Explain why automatic systems might still fail in some contexts.</w:t>
      </w:r>
    </w:p>
    <w:p>
      <w:r>
        <w:rPr>
          <w:b/>
          <w:sz w:val="9pt"/>
          <w:szCs w:val="9pt"/>
          <w:color w:val="000000"/>
        </w:rPr>
        <w:t xml:space="preserve">Answer. </w:t>
      </w:r>
      <w:r>
        <w:rPr>
          <w:sz w:val="9pt"/>
          <w:szCs w:val="9pt"/>
          <w:color w:val="000000"/>
        </w:rPr>
        <w:t>Automatic systems may fail because the strongest local word association does not always match the intended meaning.</w:t>
      </w:r>
    </w:p>
    <w:p>
      <w:pPr>
        <w:ind w:left="259" w:hanging="259"/>
      </w:pPr>
      <w:r>
        <w:rPr>
          <w:b/>
          <w:sz w:val="9pt"/>
          <w:szCs w:val="9pt"/>
          <w:color w:val="000000"/>
        </w:rPr>
        <w:t xml:space="preserve">1. Conflicting clues. </w:t>
      </w:r>
      <w:r>
        <w:rPr>
          <w:sz w:val="9pt"/>
          <w:szCs w:val="9pt"/>
          <w:color w:val="000000"/>
        </w:rPr>
        <w:t>The system may give "river" too much weight and ignore the stronger phrase-level clue "will not open".</w:t>
      </w:r>
    </w:p>
    <w:p>
      <w:pPr>
        <w:ind w:left="259" w:hanging="259"/>
      </w:pPr>
      <w:r>
        <w:rPr>
          <w:b/>
          <w:sz w:val="9pt"/>
          <w:szCs w:val="9pt"/>
          <w:color w:val="000000"/>
        </w:rPr>
        <w:t xml:space="preserve">2. Missing real-world knowledge. </w:t>
      </w:r>
      <w:r>
        <w:rPr>
          <w:sz w:val="9pt"/>
          <w:szCs w:val="9pt"/>
          <w:color w:val="000000"/>
        </w:rPr>
        <w:t>Understanding the financial reading may require knowing that floodwater can make a branch unsafe or inaccessible.</w:t>
      </w:r>
    </w:p>
    <w:p>
      <w:pPr>
        <w:ind w:left="259" w:hanging="259"/>
      </w:pPr>
      <w:r>
        <w:rPr>
          <w:b/>
          <w:sz w:val="9pt"/>
          <w:szCs w:val="9pt"/>
          <w:color w:val="000000"/>
        </w:rPr>
        <w:t xml:space="preserve">3. Insufficient context. </w:t>
      </w:r>
      <w:r>
        <w:rPr>
          <w:sz w:val="9pt"/>
          <w:szCs w:val="9pt"/>
          <w:color w:val="000000"/>
        </w:rPr>
        <w:t>The preceding paragraph might describe either a flooded bank branch or a riverside area closed to visitors. That information is absent from the isolated sentence.</w:t>
      </w:r>
    </w:p>
    <w:p>
      <w:r>
        <w:rPr>
          <w:b/>
          <w:sz w:val="9pt"/>
          <w:szCs w:val="9pt"/>
          <w:color w:val="000000"/>
        </w:rPr>
        <w:t xml:space="preserve">Conclusion. </w:t>
      </w:r>
      <w:r>
        <w:rPr>
          <w:sz w:val="9pt"/>
          <w:szCs w:val="9pt"/>
          <w:color w:val="000000"/>
        </w:rPr>
        <w:t>Lexical resources narrow the possible meanings, but reliable disambiguation also needs context and knowledge about the situation.</w:t>
      </w:r>
    </w:p>
    <w:p>
      <w:pPr>
        <w:pStyle w:val="Heading1"/>
      </w:pPr>
      <w:r>
        <w:rPr>
          <w:sz w:val="11.25pt"/>
          <w:szCs w:val="11.25pt"/>
          <w:color w:val="000000"/>
          <w:b w:val="1"/>
        </w:rPr>
        <w:t>Q2 A company is building an NLP system to classify word senses using Naïve Bayes</w:t>
      </w:r>
    </w:p>
    <w:p>
      <w:r>
        <w:rPr>
          <w:sz w:val="9pt"/>
          <w:szCs w:val="9pt"/>
          <w:color w:val="000000"/>
        </w:rPr>
        <w:t>CO4  |  Level C  |  4 marks</w:t>
      </w:r>
    </w:p>
    <w:p>
      <w:pPr>
        <w:pStyle w:val="Heading2"/>
      </w:pPr>
      <w:r>
        <w:rPr>
          <w:sz w:val="11.25pt"/>
          <w:szCs w:val="11.25pt"/>
          <w:color w:val="000000"/>
          <w:b w:val="1"/>
        </w:rPr>
        <w:t>Q2 (a) Briefly explain how Naïve Bayes can be applied to Word Sense Disambiguation (WSD).</w:t>
      </w:r>
    </w:p>
    <w:p>
      <w:r>
        <w:rPr>
          <w:b/>
          <w:sz w:val="9pt"/>
          <w:szCs w:val="9pt"/>
          <w:color w:val="000000"/>
        </w:rPr>
        <w:t xml:space="preserve">Answer. </w:t>
      </w:r>
      <w:r>
        <w:rPr>
          <w:sz w:val="9pt"/>
          <w:szCs w:val="9pt"/>
          <w:color w:val="000000"/>
        </w:rPr>
        <w:t>Word Sense Disambiguation identifies the intended meaning of an ambiguous word in context. Naïve Bayes treats each possible sense as a class and learns from examples labelled with the correct senses.</w:t>
      </w:r>
    </w:p>
    <w:p>
      <w:pPr>
        <w:ind w:left="259" w:hanging="259"/>
      </w:pPr>
      <w:r>
        <w:rPr>
          <w:b/>
          <w:sz w:val="9pt"/>
          <w:szCs w:val="9pt"/>
          <w:color w:val="000000"/>
        </w:rPr>
        <w:t xml:space="preserve">1. Prepare training data. </w:t>
      </w:r>
      <w:r>
        <w:rPr>
          <w:sz w:val="9pt"/>
          <w:szCs w:val="9pt"/>
          <w:color w:val="000000"/>
        </w:rPr>
        <w:t>Collect sentences containing the target word and assign a sense label to each occurrence, such as financial bank or riverbank.</w:t>
      </w:r>
    </w:p>
    <w:p>
      <w:pPr>
        <w:ind w:left="259" w:hanging="259"/>
      </w:pPr>
      <w:r>
        <w:rPr>
          <w:b/>
          <w:sz w:val="9pt"/>
          <w:szCs w:val="9pt"/>
          <w:color w:val="000000"/>
        </w:rPr>
        <w:t xml:space="preserve">2. Extract context features. </w:t>
      </w:r>
      <w:r>
        <w:rPr>
          <w:sz w:val="9pt"/>
          <w:szCs w:val="9pt"/>
          <w:color w:val="000000"/>
        </w:rPr>
        <w:t>Use nearby words, their positions or part-of-speech tags. For example, "deposit", "loan" and "account" can indicate the financial sense.</w:t>
      </w:r>
    </w:p>
    <w:p>
      <w:pPr>
        <w:ind w:left="259" w:hanging="259"/>
      </w:pPr>
      <w:r>
        <w:rPr>
          <w:b/>
          <w:sz w:val="9pt"/>
          <w:szCs w:val="9pt"/>
          <w:color w:val="000000"/>
        </w:rPr>
        <w:t xml:space="preserve">3. Estimate probabilities. </w:t>
      </w:r>
      <w:r>
        <w:rPr>
          <w:sz w:val="9pt"/>
          <w:szCs w:val="9pt"/>
          <w:color w:val="000000"/>
        </w:rPr>
        <w:t>Calculate the prior probability of each sense and the likelihood of each feature given that sense. Apply smoothing so an unseen feature does not make the entire score zero [2].</w:t>
      </w:r>
    </w:p>
    <w:p>
      <w:pPr>
        <w:ind w:left="259" w:hanging="259"/>
      </w:pPr>
      <w:r>
        <w:rPr>
          <w:b/>
          <w:sz w:val="9pt"/>
          <w:szCs w:val="9pt"/>
          <w:color w:val="000000"/>
        </w:rPr>
        <w:t xml:space="preserve">4. Predict the sense. </w:t>
      </w:r>
      <w:r>
        <w:rPr>
          <w:sz w:val="9pt"/>
          <w:szCs w:val="9pt"/>
          <w:color w:val="000000"/>
        </w:rPr>
        <w:t>For a new occurrence, multiply a sense's prior probability by the conditional likelihoods of its observed features. Choose the sense with the highest resulting score.</w:t>
      </w:r>
    </w:p>
    <w:p>
      <w:r>
        <w:rPr>
          <w:sz w:val="9pt"/>
          <w:szCs w:val="9pt"/>
          <w:color w:val="000000"/>
        </w:rPr>
        <w:t>The "naïve" assumption is that the features are conditionally independent once the sense is known. For example, in "She deposited money in the bank", the context words would normally give the financial sense a higher score. These probabilities must come from training data; they are not fixed rules.</w:t>
      </w:r>
    </w:p>
    <w:p>
      <w:pPr>
        <w:pStyle w:val="Heading2"/>
      </w:pPr>
      <w:r>
        <w:rPr>
          <w:sz w:val="11.25pt"/>
          <w:szCs w:val="11.25pt"/>
          <w:color w:val="000000"/>
          <w:b w:val="1"/>
        </w:rPr>
        <w:t>Q2 (b) What are its key limitations compared to Lesk's knowledge-based approach?</w:t>
      </w:r>
    </w:p>
    <w:p>
      <w:r>
        <w:rPr>
          <w:b/>
          <w:sz w:val="9pt"/>
          <w:szCs w:val="9pt"/>
          <w:color w:val="000000"/>
        </w:rPr>
        <w:t xml:space="preserve">Answer. </w:t>
      </w:r>
      <w:r>
        <w:rPr>
          <w:sz w:val="9pt"/>
          <w:szCs w:val="9pt"/>
          <w:color w:val="000000"/>
        </w:rPr>
        <w:t>Naïve Bayes learns statistical evidence from labelled examples. Lesk uses dictionary definitions. In a common simplified version, Lesk chooses the sense whose definition has the most word overlap with the surrounding context [3].</w:t>
      </w:r>
    </w:p>
    <w:tbl>
      <w:tblPr>
        <w:tblW w:type="auto" w:w="0"/>
        <w:jc w:val="center"/>
        <w:tblLayout w:type="fixed"/>
        <w:tblLook w:firstColumn="1" w:firstRow="1" w:lastColumn="0" w:lastRow="0" w:noHBand="0" w:noVBand="1" w:val="04A0"/>
      </w:tblPr>
      <w:tblGrid>
        <w:gridCol w:w="3080"/>
        <w:gridCol w:w="3080"/>
        <w:gridCol w:w="3080"/>
      </w:tblGrid>
      <w:tr>
        <w:trPr>
          <w:cantSplit/>
          <w:tblHeader/>
        </w:trPr>
        <w:tc>
          <w:tcPr>
            <w:tcW w:type="dxa" w:w="1613"/>
            <w:vAlign w:val="center"/>
            <w:tcBorders>
              <w:top w:val="single" w:sz="4" w:color="000000"/>
              <w:left w:val="single" w:sz="4" w:color="000000"/>
              <w:bottom w:val="single" w:sz="4" w:color="000000"/>
              <w:right w:val="single" w:sz="4" w:color="000000"/>
            </w:tcBorders>
            <w:tcMar>
              <w:top w:w="85" w:type="dxa"/>
              <w:left w:w="85" w:type="dxa"/>
              <w:bottom w:w="85" w:type="dxa"/>
              <w:right w:w="85" w:type="dxa"/>
            </w:tcMar>
          </w:tcPr>
          <w:p>
            <w:pPr>
              <w:spacing w:line="276" w:lineRule="auto" w:after="60"/>
            </w:pPr>
            <w:r>
              <w:rPr>
                <w:rFonts w:ascii="Times New Roman" w:hAnsi="Times New Roman"/>
                <w:b/>
                <w:color w:val="000000"/>
                <w:sz w:val="9pt"/>
                <w:szCs w:val="9pt"/>
              </w:rPr>
              <w:t>Basis</w:t>
            </w:r>
          </w:p>
        </w:tc>
        <w:tc>
          <w:tcPr>
            <w:tcW w:type="dxa" w:w="3701"/>
            <w:vAlign w:val="center"/>
            <w:tcBorders>
              <w:top w:val="single" w:sz="4" w:color="000000"/>
              <w:left w:val="single" w:sz="4" w:color="000000"/>
              <w:bottom w:val="single" w:sz="4" w:color="000000"/>
              <w:right w:val="single" w:sz="4" w:color="000000"/>
            </w:tcBorders>
            <w:tcMar>
              <w:top w:w="85" w:type="dxa"/>
              <w:left w:w="85" w:type="dxa"/>
              <w:bottom w:w="85" w:type="dxa"/>
              <w:right w:w="85" w:type="dxa"/>
            </w:tcMar>
          </w:tcPr>
          <w:p>
            <w:pPr>
              <w:spacing w:line="276" w:lineRule="auto" w:after="60"/>
            </w:pPr>
            <w:r>
              <w:rPr>
                <w:rFonts w:ascii="Times New Roman" w:hAnsi="Times New Roman"/>
                <w:b/>
                <w:color w:val="000000"/>
                <w:sz w:val="9pt"/>
                <w:szCs w:val="9pt"/>
              </w:rPr>
              <w:t>Naïve Bayes</w:t>
            </w:r>
          </w:p>
        </w:tc>
        <w:tc>
          <w:tcPr>
            <w:tcW w:type="dxa" w:w="3701"/>
            <w:vAlign w:val="center"/>
            <w:tcBorders>
              <w:top w:val="single" w:sz="4" w:color="000000"/>
              <w:left w:val="single" w:sz="4" w:color="000000"/>
              <w:bottom w:val="single" w:sz="4" w:color="000000"/>
              <w:right w:val="single" w:sz="4" w:color="000000"/>
            </w:tcBorders>
            <w:tcMar>
              <w:top w:w="85" w:type="dxa"/>
              <w:left w:w="85" w:type="dxa"/>
              <w:bottom w:w="85" w:type="dxa"/>
              <w:right w:w="85" w:type="dxa"/>
            </w:tcMar>
          </w:tcPr>
          <w:p>
            <w:pPr>
              <w:spacing w:line="276" w:lineRule="auto" w:after="60"/>
            </w:pPr>
            <w:r>
              <w:rPr>
                <w:rFonts w:ascii="Times New Roman" w:hAnsi="Times New Roman"/>
                <w:b/>
                <w:color w:val="000000"/>
                <w:sz w:val="9pt"/>
                <w:szCs w:val="9pt"/>
              </w:rPr>
              <w:t>Lesk</w:t>
            </w:r>
          </w:p>
        </w:tc>
      </w:tr>
      <w:tr>
        <w:trPr>
          <w:cantSplit/>
        </w:trPr>
        <w:tc>
          <w:tcPr>
            <w:tcW w:type="dxa" w:w="1613"/>
            <w:vAlign w:val="center"/>
            <w:tcBorders>
              <w:top w:val="single" w:sz="4" w:color="000000"/>
              <w:left w:val="single" w:sz="4" w:color="000000"/>
              <w:bottom w:val="single" w:sz="4" w:color="000000"/>
              <w:right w:val="single" w:sz="4" w:color="000000"/>
            </w:tcBorders>
            <w:tcMar>
              <w:top w:w="85" w:type="dxa"/>
              <w:left w:w="85" w:type="dxa"/>
              <w:bottom w:w="85" w:type="dxa"/>
              <w:right w:w="85" w:type="dxa"/>
            </w:tcMar>
          </w:tcPr>
          <w:p>
            <w:pPr>
              <w:spacing w:line="276" w:lineRule="auto" w:after="60"/>
            </w:pPr>
            <w:r>
              <w:rPr>
                <w:rFonts w:ascii="Times New Roman" w:hAnsi="Times New Roman"/>
                <w:b w:val="0"/>
                <w:color w:val="000000"/>
                <w:sz w:val="9pt"/>
                <w:szCs w:val="9pt"/>
              </w:rPr>
              <w:t>Data requirement</w:t>
            </w:r>
          </w:p>
        </w:tc>
        <w:tc>
          <w:tcPr>
            <w:tcW w:type="dxa" w:w="3701"/>
            <w:vAlign w:val="center"/>
            <w:tcBorders>
              <w:top w:val="single" w:sz="4" w:color="000000"/>
              <w:left w:val="single" w:sz="4" w:color="000000"/>
              <w:bottom w:val="single" w:sz="4" w:color="000000"/>
              <w:right w:val="single" w:sz="4" w:color="000000"/>
            </w:tcBorders>
            <w:tcMar>
              <w:top w:w="85" w:type="dxa"/>
              <w:left w:w="85" w:type="dxa"/>
              <w:bottom w:w="85" w:type="dxa"/>
              <w:right w:w="85" w:type="dxa"/>
            </w:tcMar>
          </w:tcPr>
          <w:p>
            <w:pPr>
              <w:spacing w:line="276" w:lineRule="auto" w:after="60"/>
            </w:pPr>
            <w:r>
              <w:rPr>
                <w:rFonts w:ascii="Times New Roman" w:hAnsi="Times New Roman"/>
                <w:b w:val="0"/>
                <w:color w:val="000000"/>
                <w:sz w:val="9pt"/>
                <w:szCs w:val="9pt"/>
              </w:rPr>
              <w:t>Needs sense-labelled training examples, which take time to create.</w:t>
            </w:r>
          </w:p>
        </w:tc>
        <w:tc>
          <w:tcPr>
            <w:tcW w:type="dxa" w:w="3701"/>
            <w:vAlign w:val="center"/>
            <w:tcBorders>
              <w:top w:val="single" w:sz="4" w:color="000000"/>
              <w:left w:val="single" w:sz="4" w:color="000000"/>
              <w:bottom w:val="single" w:sz="4" w:color="000000"/>
              <w:right w:val="single" w:sz="4" w:color="000000"/>
            </w:tcBorders>
            <w:tcMar>
              <w:top w:w="85" w:type="dxa"/>
              <w:left w:w="85" w:type="dxa"/>
              <w:bottom w:w="85" w:type="dxa"/>
              <w:right w:w="85" w:type="dxa"/>
            </w:tcMar>
          </w:tcPr>
          <w:p>
            <w:pPr>
              <w:spacing w:line="276" w:lineRule="auto" w:after="60"/>
            </w:pPr>
            <w:r>
              <w:rPr>
                <w:rFonts w:ascii="Times New Roman" w:hAnsi="Times New Roman"/>
                <w:b w:val="0"/>
                <w:color w:val="000000"/>
                <w:sz w:val="9pt"/>
                <w:szCs w:val="9pt"/>
              </w:rPr>
              <w:t>Can work with dictionary glosses without labelled training examples.</w:t>
            </w:r>
          </w:p>
        </w:tc>
      </w:tr>
      <w:tr>
        <w:trPr>
          <w:cantSplit/>
        </w:trPr>
        <w:tc>
          <w:tcPr>
            <w:tcW w:type="dxa" w:w="1613"/>
            <w:vAlign w:val="center"/>
            <w:tcBorders>
              <w:top w:val="single" w:sz="4" w:color="000000"/>
              <w:left w:val="single" w:sz="4" w:color="000000"/>
              <w:bottom w:val="single" w:sz="4" w:color="000000"/>
              <w:right w:val="single" w:sz="4" w:color="000000"/>
            </w:tcBorders>
            <w:tcMar>
              <w:top w:w="85" w:type="dxa"/>
              <w:left w:w="85" w:type="dxa"/>
              <w:bottom w:w="85" w:type="dxa"/>
              <w:right w:w="85" w:type="dxa"/>
            </w:tcMar>
          </w:tcPr>
          <w:p>
            <w:pPr>
              <w:spacing w:line="276" w:lineRule="auto" w:after="60"/>
            </w:pPr>
            <w:r>
              <w:rPr>
                <w:rFonts w:ascii="Times New Roman" w:hAnsi="Times New Roman"/>
                <w:b w:val="0"/>
                <w:color w:val="000000"/>
                <w:sz w:val="9pt"/>
                <w:szCs w:val="9pt"/>
              </w:rPr>
              <w:t>Rare or new senses</w:t>
            </w:r>
          </w:p>
        </w:tc>
        <w:tc>
          <w:tcPr>
            <w:tcW w:type="dxa" w:w="3701"/>
            <w:vAlign w:val="center"/>
            <w:tcBorders>
              <w:top w:val="single" w:sz="4" w:color="000000"/>
              <w:left w:val="single" w:sz="4" w:color="000000"/>
              <w:bottom w:val="single" w:sz="4" w:color="000000"/>
              <w:right w:val="single" w:sz="4" w:color="000000"/>
            </w:tcBorders>
            <w:tcMar>
              <w:top w:w="85" w:type="dxa"/>
              <w:left w:w="85" w:type="dxa"/>
              <w:bottom w:w="85" w:type="dxa"/>
              <w:right w:w="85" w:type="dxa"/>
            </w:tcMar>
          </w:tcPr>
          <w:p>
            <w:pPr>
              <w:spacing w:line="276" w:lineRule="auto" w:after="60"/>
            </w:pPr>
            <w:r>
              <w:rPr>
                <w:rFonts w:ascii="Times New Roman" w:hAnsi="Times New Roman"/>
                <w:b w:val="0"/>
                <w:color w:val="000000"/>
                <w:sz w:val="9pt"/>
                <w:szCs w:val="9pt"/>
              </w:rPr>
              <w:t>Learns poorly when a sense has few or no training examples.</w:t>
            </w:r>
          </w:p>
        </w:tc>
        <w:tc>
          <w:tcPr>
            <w:tcW w:type="dxa" w:w="3701"/>
            <w:vAlign w:val="center"/>
            <w:tcBorders>
              <w:top w:val="single" w:sz="4" w:color="000000"/>
              <w:left w:val="single" w:sz="4" w:color="000000"/>
              <w:bottom w:val="single" w:sz="4" w:color="000000"/>
              <w:right w:val="single" w:sz="4" w:color="000000"/>
            </w:tcBorders>
            <w:tcMar>
              <w:top w:w="85" w:type="dxa"/>
              <w:left w:w="85" w:type="dxa"/>
              <w:bottom w:w="85" w:type="dxa"/>
              <w:right w:w="85" w:type="dxa"/>
            </w:tcMar>
          </w:tcPr>
          <w:p>
            <w:pPr>
              <w:spacing w:line="276" w:lineRule="auto" w:after="60"/>
            </w:pPr>
            <w:r>
              <w:rPr>
                <w:rFonts w:ascii="Times New Roman" w:hAnsi="Times New Roman"/>
                <w:b w:val="0"/>
                <w:color w:val="000000"/>
                <w:sz w:val="9pt"/>
                <w:szCs w:val="9pt"/>
              </w:rPr>
              <w:t>Can consider a sense if the lexical resource includes its definition.</w:t>
            </w:r>
          </w:p>
        </w:tc>
      </w:tr>
      <w:tr>
        <w:trPr>
          <w:cantSplit/>
        </w:trPr>
        <w:tc>
          <w:tcPr>
            <w:tcW w:type="dxa" w:w="1613"/>
            <w:vAlign w:val="center"/>
            <w:tcBorders>
              <w:top w:val="single" w:sz="4" w:color="000000"/>
              <w:left w:val="single" w:sz="4" w:color="000000"/>
              <w:bottom w:val="single" w:sz="4" w:color="000000"/>
              <w:right w:val="single" w:sz="4" w:color="000000"/>
            </w:tcBorders>
            <w:tcMar>
              <w:top w:w="85" w:type="dxa"/>
              <w:left w:w="85" w:type="dxa"/>
              <w:bottom w:w="85" w:type="dxa"/>
              <w:right w:w="85" w:type="dxa"/>
            </w:tcMar>
          </w:tcPr>
          <w:p>
            <w:pPr>
              <w:spacing w:line="276" w:lineRule="auto" w:after="60"/>
            </w:pPr>
            <w:r>
              <w:rPr>
                <w:rFonts w:ascii="Times New Roman" w:hAnsi="Times New Roman"/>
                <w:b w:val="0"/>
                <w:color w:val="000000"/>
                <w:sz w:val="9pt"/>
                <w:szCs w:val="9pt"/>
              </w:rPr>
              <w:t>Context handling</w:t>
            </w:r>
          </w:p>
        </w:tc>
        <w:tc>
          <w:tcPr>
            <w:tcW w:type="dxa" w:w="3701"/>
            <w:vAlign w:val="center"/>
            <w:tcBorders>
              <w:top w:val="single" w:sz="4" w:color="000000"/>
              <w:left w:val="single" w:sz="4" w:color="000000"/>
              <w:bottom w:val="single" w:sz="4" w:color="000000"/>
              <w:right w:val="single" w:sz="4" w:color="000000"/>
            </w:tcBorders>
            <w:tcMar>
              <w:top w:w="85" w:type="dxa"/>
              <w:left w:w="85" w:type="dxa"/>
              <w:bottom w:w="85" w:type="dxa"/>
              <w:right w:w="85" w:type="dxa"/>
            </w:tcMar>
          </w:tcPr>
          <w:p>
            <w:pPr>
              <w:spacing w:line="276" w:lineRule="auto" w:after="60"/>
            </w:pPr>
            <w:r>
              <w:rPr>
                <w:rFonts w:ascii="Times New Roman" w:hAnsi="Times New Roman"/>
                <w:b w:val="0"/>
                <w:color w:val="000000"/>
                <w:sz w:val="9pt"/>
                <w:szCs w:val="9pt"/>
              </w:rPr>
              <w:t>The independence assumption can misrepresent related context features.</w:t>
            </w:r>
          </w:p>
        </w:tc>
        <w:tc>
          <w:tcPr>
            <w:tcW w:type="dxa" w:w="3701"/>
            <w:vAlign w:val="center"/>
            <w:tcBorders>
              <w:top w:val="single" w:sz="4" w:color="000000"/>
              <w:left w:val="single" w:sz="4" w:color="000000"/>
              <w:bottom w:val="single" w:sz="4" w:color="000000"/>
              <w:right w:val="single" w:sz="4" w:color="000000"/>
            </w:tcBorders>
            <w:tcMar>
              <w:top w:w="85" w:type="dxa"/>
              <w:left w:w="85" w:type="dxa"/>
              <w:bottom w:w="85" w:type="dxa"/>
              <w:right w:w="85" w:type="dxa"/>
            </w:tcMar>
          </w:tcPr>
          <w:p>
            <w:pPr>
              <w:spacing w:line="276" w:lineRule="auto" w:after="60"/>
            </w:pPr>
            <w:r>
              <w:rPr>
                <w:rFonts w:ascii="Times New Roman" w:hAnsi="Times New Roman"/>
                <w:b w:val="0"/>
                <w:color w:val="000000"/>
                <w:sz w:val="9pt"/>
                <w:szCs w:val="9pt"/>
              </w:rPr>
              <w:t>Relies on gloss overlap, which may miss synonyms or paraphrases.</w:t>
            </w:r>
          </w:p>
        </w:tc>
      </w:tr>
      <w:tr>
        <w:trPr>
          <w:cantSplit/>
        </w:trPr>
        <w:tc>
          <w:tcPr>
            <w:tcW w:type="dxa" w:w="1613"/>
            <w:vAlign w:val="center"/>
            <w:tcBorders>
              <w:top w:val="single" w:sz="4" w:color="000000"/>
              <w:left w:val="single" w:sz="4" w:color="000000"/>
              <w:bottom w:val="single" w:sz="4" w:color="000000"/>
              <w:right w:val="single" w:sz="4" w:color="000000"/>
            </w:tcBorders>
            <w:tcMar>
              <w:top w:w="85" w:type="dxa"/>
              <w:left w:w="85" w:type="dxa"/>
              <w:bottom w:w="85" w:type="dxa"/>
              <w:right w:w="85" w:type="dxa"/>
            </w:tcMar>
          </w:tcPr>
          <w:p>
            <w:pPr>
              <w:spacing w:line="276" w:lineRule="auto" w:after="60"/>
            </w:pPr>
            <w:r>
              <w:rPr>
                <w:rFonts w:ascii="Times New Roman" w:hAnsi="Times New Roman"/>
                <w:b w:val="0"/>
                <w:color w:val="000000"/>
                <w:sz w:val="9pt"/>
                <w:szCs w:val="9pt"/>
              </w:rPr>
              <w:t>Domain change</w:t>
            </w:r>
          </w:p>
        </w:tc>
        <w:tc>
          <w:tcPr>
            <w:tcW w:type="dxa" w:w="3701"/>
            <w:vAlign w:val="center"/>
            <w:tcBorders>
              <w:top w:val="single" w:sz="4" w:color="000000"/>
              <w:left w:val="single" w:sz="4" w:color="000000"/>
              <w:bottom w:val="single" w:sz="4" w:color="000000"/>
              <w:right w:val="single" w:sz="4" w:color="000000"/>
            </w:tcBorders>
            <w:tcMar>
              <w:top w:w="85" w:type="dxa"/>
              <w:left w:w="85" w:type="dxa"/>
              <w:bottom w:w="85" w:type="dxa"/>
              <w:right w:w="85" w:type="dxa"/>
            </w:tcMar>
          </w:tcPr>
          <w:p>
            <w:pPr>
              <w:spacing w:line="276" w:lineRule="auto" w:after="60"/>
            </w:pPr>
            <w:r>
              <w:rPr>
                <w:rFonts w:ascii="Times New Roman" w:hAnsi="Times New Roman"/>
                <w:b w:val="0"/>
                <w:color w:val="000000"/>
                <w:sz w:val="9pt"/>
                <w:szCs w:val="9pt"/>
              </w:rPr>
              <w:t>Probabilities learned in one domain may not transfer well to another.</w:t>
            </w:r>
          </w:p>
        </w:tc>
        <w:tc>
          <w:tcPr>
            <w:tcW w:type="dxa" w:w="3701"/>
            <w:vAlign w:val="center"/>
            <w:tcBorders>
              <w:top w:val="single" w:sz="4" w:color="000000"/>
              <w:left w:val="single" w:sz="4" w:color="000000"/>
              <w:bottom w:val="single" w:sz="4" w:color="000000"/>
              <w:right w:val="single" w:sz="4" w:color="000000"/>
            </w:tcBorders>
            <w:tcMar>
              <w:top w:w="85" w:type="dxa"/>
              <w:left w:w="85" w:type="dxa"/>
              <w:bottom w:w="85" w:type="dxa"/>
              <w:right w:w="85" w:type="dxa"/>
            </w:tcMar>
          </w:tcPr>
          <w:p>
            <w:pPr>
              <w:spacing w:line="276" w:lineRule="auto" w:after="60"/>
            </w:pPr>
            <w:r>
              <w:rPr>
                <w:rFonts w:ascii="Times New Roman" w:hAnsi="Times New Roman"/>
                <w:b w:val="0"/>
                <w:color w:val="000000"/>
                <w:sz w:val="9pt"/>
                <w:szCs w:val="9pt"/>
              </w:rPr>
              <w:t>Coverage depends on whether the resource includes the domain-specific sense.</w:t>
            </w:r>
          </w:p>
        </w:tc>
      </w:tr>
    </w:tbl>
    <w:p>
      <w:r>
        <w:rPr>
          <w:sz w:val="9pt"/>
          <w:szCs w:val="9pt"/>
          <w:color w:val="000000"/>
        </w:rPr>
        <w:t>Thus, Lesk avoids the need for labelled training data, but it is not always more accurate. Short glosses and limited overlap can also lead it to the wrong sense.</w:t>
      </w:r>
    </w:p>
    <w:p>
      <w:pPr>
        <w:pStyle w:val="Heading2"/>
      </w:pPr>
      <w:r>
        <w:rPr>
          <w:sz w:val="11.25pt"/>
          <w:szCs w:val="11.25pt"/>
          <w:color w:val="000000"/>
          <w:b w:val="1"/>
        </w:rPr>
        <w:t>Q2 (c) Propose one improvement using a semi-supervised method such as Yarowsky's algorithm.</w:t>
      </w:r>
    </w:p>
    <w:p>
      <w:r>
        <w:rPr>
          <w:b/>
          <w:sz w:val="9pt"/>
          <w:szCs w:val="9pt"/>
          <w:color w:val="000000"/>
        </w:rPr>
        <w:t xml:space="preserve">Answer. </w:t>
      </w:r>
      <w:r>
        <w:rPr>
          <w:sz w:val="9pt"/>
          <w:szCs w:val="9pt"/>
          <w:color w:val="000000"/>
        </w:rPr>
        <w:t>A suitable improvement is Yarowsky-style bootstrapping. It expands a small set of reliable seed examples by repeatedly learning from confident predictions on unlabelled text [4].</w:t>
      </w:r>
    </w:p>
    <w:p>
      <w:pPr>
        <w:ind w:left="259" w:hanging="259"/>
      </w:pPr>
      <w:r>
        <w:rPr>
          <w:b/>
          <w:sz w:val="9pt"/>
          <w:szCs w:val="9pt"/>
          <w:color w:val="000000"/>
        </w:rPr>
        <w:t xml:space="preserve">1. Select reliable seeds. </w:t>
      </w:r>
      <w:r>
        <w:rPr>
          <w:sz w:val="9pt"/>
          <w:szCs w:val="9pt"/>
          <w:color w:val="000000"/>
        </w:rPr>
        <w:t>Begin with a few examples for each sense. "Bank loan" can seed the financial class, while "river bank" can seed the geographical class.</w:t>
      </w:r>
    </w:p>
    <w:p>
      <w:pPr>
        <w:ind w:left="259" w:hanging="259"/>
      </w:pPr>
      <w:r>
        <w:rPr>
          <w:b/>
          <w:sz w:val="9pt"/>
          <w:szCs w:val="9pt"/>
          <w:color w:val="000000"/>
        </w:rPr>
        <w:t xml:space="preserve">2. Train and predict. </w:t>
      </w:r>
      <w:r>
        <w:rPr>
          <w:sz w:val="9pt"/>
          <w:szCs w:val="9pt"/>
          <w:color w:val="000000"/>
        </w:rPr>
        <w:t>Train the initial classifier and apply it to a larger unlabelled collection. Retain predictions only when confidence is sufficiently high.</w:t>
      </w:r>
    </w:p>
    <w:p>
      <w:pPr>
        <w:ind w:left="259" w:hanging="259"/>
      </w:pPr>
      <w:r>
        <w:rPr>
          <w:b/>
          <w:sz w:val="9pt"/>
          <w:szCs w:val="9pt"/>
          <w:color w:val="000000"/>
        </w:rPr>
        <w:t xml:space="preserve">3. Expand and retrain. </w:t>
      </w:r>
      <w:r>
        <w:rPr>
          <w:sz w:val="9pt"/>
          <w:szCs w:val="9pt"/>
          <w:color w:val="000000"/>
        </w:rPr>
        <w:t>Add the selected examples to the training set and repeat the process. Check performance on a separate, manually labelled validation set.</w:t>
      </w:r>
    </w:p>
    <w:p>
      <w:r>
        <w:rPr>
          <w:sz w:val="9pt"/>
          <w:szCs w:val="9pt"/>
          <w:color w:val="000000"/>
        </w:rPr>
        <w:t>The method uses two tendencies. One sense per collocation means a particular word combination usually signals the same sense. One sense per discourse means repeated uses of an ambiguous word in a document often share a sense. Neither tendency is an absolute rule.</w:t>
      </w:r>
    </w:p>
    <w:p>
      <w:r>
        <w:rPr>
          <w:b/>
          <w:sz w:val="9pt"/>
          <w:szCs w:val="9pt"/>
          <w:color w:val="000000"/>
        </w:rPr>
        <w:t xml:space="preserve">Conclusion. </w:t>
      </w:r>
      <w:r>
        <w:rPr>
          <w:sz w:val="9pt"/>
          <w:szCs w:val="9pt"/>
          <w:color w:val="000000"/>
        </w:rPr>
        <w:t>Bootstrapping can reduce manual labelling and broaden the training data. Reliable seeds and conservative confidence thresholds are necessary because incorrect automatic labels can reinforce later mistakes.</w:t>
      </w:r>
    </w:p>
    <w:p>
      <w:pPr>
        <w:pStyle w:val="Heading1"/>
      </w:pPr>
      <w:r>
        <w:rPr>
          <w:sz w:val="11.25pt"/>
          <w:szCs w:val="11.25pt"/>
          <w:color w:val="000000"/>
          <w:b w:val="1"/>
        </w:rPr>
        <w:t>Q3 Consider the sentence</w:t>
      </w:r>
    </w:p>
    <w:p>
      <w:r>
        <w:rPr>
          <w:i/>
          <w:sz w:val="9pt"/>
          <w:szCs w:val="9pt"/>
          <w:color w:val="000000"/>
        </w:rPr>
        <w:t>"John met Alex after he finished the project."</w:t>
      </w:r>
    </w:p>
    <w:p>
      <w:r>
        <w:rPr>
          <w:sz w:val="9pt"/>
          <w:szCs w:val="9pt"/>
          <w:color w:val="000000"/>
        </w:rPr>
        <w:t>CO5  |  Level E  |  3 marks</w:t>
      </w:r>
    </w:p>
    <w:p>
      <w:pPr>
        <w:pStyle w:val="Heading2"/>
      </w:pPr>
      <w:r>
        <w:rPr>
          <w:sz w:val="11.25pt"/>
          <w:szCs w:val="11.25pt"/>
          <w:color w:val="000000"/>
          <w:b w:val="1"/>
        </w:rPr>
        <w:t>Q3 (a) Identify the anaphora and discuss why reference resolution is difficult here.</w:t>
      </w:r>
    </w:p>
    <w:p>
      <w:r>
        <w:rPr>
          <w:b/>
          <w:sz w:val="9pt"/>
          <w:szCs w:val="9pt"/>
          <w:color w:val="000000"/>
        </w:rPr>
        <w:t xml:space="preserve">Answer. </w:t>
      </w:r>
      <w:r>
        <w:rPr>
          <w:sz w:val="9pt"/>
          <w:szCs w:val="9pt"/>
          <w:color w:val="000000"/>
        </w:rPr>
        <w:t>The pronoun "he" is the anaphoric expression. Anaphora occurs when an expression refers back to an entity already mentioned. The earlier expression identifying that entity is its antecedent.</w:t>
      </w:r>
    </w:p>
    <w:p>
      <w:pPr>
        <w:ind w:left="259" w:hanging="259"/>
      </w:pPr>
      <w:r>
        <w:rPr>
          <w:b/>
          <w:sz w:val="9pt"/>
          <w:szCs w:val="9pt"/>
          <w:color w:val="000000"/>
        </w:rPr>
        <w:t xml:space="preserve">1. John as antecedent. </w:t>
      </w:r>
      <w:r>
        <w:rPr>
          <w:sz w:val="9pt"/>
          <w:szCs w:val="9pt"/>
          <w:color w:val="000000"/>
        </w:rPr>
        <w:t>John completed the project and then met Alex.</w:t>
      </w:r>
    </w:p>
    <w:p>
      <w:pPr>
        <w:ind w:left="259" w:hanging="259"/>
      </w:pPr>
      <w:r>
        <w:rPr>
          <w:b/>
          <w:sz w:val="9pt"/>
          <w:szCs w:val="9pt"/>
          <w:color w:val="000000"/>
        </w:rPr>
        <w:t xml:space="preserve">2. Alex as antecedent. </w:t>
      </w:r>
      <w:r>
        <w:rPr>
          <w:sz w:val="9pt"/>
          <w:szCs w:val="9pt"/>
          <w:color w:val="000000"/>
        </w:rPr>
        <w:t>Alex completed the project, after which John met Alex.</w:t>
      </w:r>
    </w:p>
    <w:p>
      <w:r>
        <w:rPr>
          <w:sz w:val="9pt"/>
          <w:szCs w:val="9pt"/>
          <w:color w:val="000000"/>
        </w:rPr>
        <w:t>Both readings are grammatically possible if John and Alex are both compatible with the pronoun "he". Number agreement cannot separate the candidates because both refer to a single person. Alex's name alone also does not establish a gender. The sentence gives no information about who was responsible for the project.</w:t>
      </w:r>
    </w:p>
    <w:p>
      <w:r>
        <w:rPr>
          <w:sz w:val="9pt"/>
          <w:szCs w:val="9pt"/>
          <w:color w:val="000000"/>
        </w:rPr>
        <w:t>A reader may prefer John because he is the main-clause subject, while a proximity-based system may favour Alex. Such preferences are useful clues, but neither establishes the intended reference without further context.</w:t>
      </w:r>
    </w:p>
    <w:p>
      <w:pPr>
        <w:pStyle w:val="Heading2"/>
      </w:pPr>
      <w:r>
        <w:rPr>
          <w:sz w:val="11.25pt"/>
          <w:szCs w:val="11.25pt"/>
          <w:color w:val="000000"/>
          <w:b w:val="1"/>
        </w:rPr>
        <w:t>Q3 (b) How would Hobbs' algorithm attempt to resolve "he"?</w:t>
      </w:r>
    </w:p>
    <w:p>
      <w:r>
        <w:rPr>
          <w:b/>
          <w:sz w:val="9pt"/>
          <w:szCs w:val="9pt"/>
          <w:color w:val="000000"/>
        </w:rPr>
        <w:t xml:space="preserve">Answer. </w:t>
      </w:r>
      <w:r>
        <w:rPr>
          <w:sz w:val="9pt"/>
          <w:szCs w:val="9pt"/>
          <w:color w:val="000000"/>
        </w:rPr>
        <w:t>Hobbs' algorithm searches a syntactic parse tree for a suitable noun-phrase antecedent. It uses structural search order and agreement checks rather than reasoning about who completed the work [5].</w:t>
      </w:r>
    </w:p>
    <w:p>
      <w:pPr>
        <w:ind w:left="259" w:hanging="259"/>
      </w:pPr>
      <w:r>
        <w:rPr>
          <w:b/>
          <w:sz w:val="9pt"/>
          <w:szCs w:val="9pt"/>
          <w:color w:val="000000"/>
        </w:rPr>
        <w:t xml:space="preserve">1. Locate the pronoun. </w:t>
      </w:r>
      <w:r>
        <w:rPr>
          <w:sz w:val="9pt"/>
          <w:szCs w:val="9pt"/>
          <w:color w:val="000000"/>
        </w:rPr>
        <w:t>Start at the noun phrase containing "he" in the subordinate clause "after he finished the project".</w:t>
      </w:r>
    </w:p>
    <w:p>
      <w:pPr>
        <w:ind w:left="259" w:hanging="259"/>
      </w:pPr>
      <w:r>
        <w:rPr>
          <w:b/>
          <w:sz w:val="9pt"/>
          <w:szCs w:val="9pt"/>
          <w:color w:val="000000"/>
        </w:rPr>
        <w:t xml:space="preserve">2. Move upward. </w:t>
      </w:r>
      <w:r>
        <w:rPr>
          <w:sz w:val="9pt"/>
          <w:szCs w:val="9pt"/>
          <w:color w:val="000000"/>
        </w:rPr>
        <w:t>Go to the nearest dominating noun-phrase or sentence node and record the path taken from the pronoun.</w:t>
      </w:r>
    </w:p>
    <w:p>
      <w:pPr>
        <w:ind w:left="259" w:hanging="259"/>
      </w:pPr>
      <w:r>
        <w:rPr>
          <w:b/>
          <w:sz w:val="9pt"/>
          <w:szCs w:val="9pt"/>
          <w:color w:val="000000"/>
        </w:rPr>
        <w:t xml:space="preserve">3. Search for candidates. </w:t>
      </w:r>
      <w:r>
        <w:rPr>
          <w:sz w:val="9pt"/>
          <w:szCs w:val="9pt"/>
          <w:color w:val="000000"/>
        </w:rPr>
        <w:t>Explore the permitted branches to the left of the path in breadth-first, left-to-right order. A proposed noun phrase must meet the structural and agreement conditions.</w:t>
      </w:r>
    </w:p>
    <w:p>
      <w:pPr>
        <w:ind w:left="259" w:hanging="259"/>
      </w:pPr>
      <w:r>
        <w:rPr>
          <w:b/>
          <w:sz w:val="9pt"/>
          <w:szCs w:val="9pt"/>
          <w:color w:val="000000"/>
        </w:rPr>
        <w:t xml:space="preserve">4. Extend the search. </w:t>
      </w:r>
      <w:r>
        <w:rPr>
          <w:sz w:val="9pt"/>
          <w:szCs w:val="9pt"/>
          <w:color w:val="000000"/>
        </w:rPr>
        <w:t>If no acceptable candidate is found, move to higher noun-phrase or sentence nodes and continue. If the current sentence supplies none, examine previous sentences, beginning with the most recent.</w:t>
      </w:r>
    </w:p>
    <w:p>
      <w:r>
        <w:rPr>
          <w:sz w:val="9pt"/>
          <w:szCs w:val="9pt"/>
          <w:color w:val="000000"/>
        </w:rPr>
        <w:t>For a standard parse of the given sentence, the search reaches the main clause and encounters the noun phrase "John" before "Alex". Assuming agreement, it would normally propose John. This is a likely algorithmic choice, not a guarantee of the speaker's intended meaning.</w:t>
      </w:r>
    </w:p>
    <w:p>
      <w:pPr>
        <w:pStyle w:val="Heading2"/>
      </w:pPr>
      <w:r>
        <w:rPr>
          <w:sz w:val="11.25pt"/>
          <w:szCs w:val="11.25pt"/>
          <w:color w:val="000000"/>
          <w:b w:val="1"/>
        </w:rPr>
        <w:t>Q3 (c) Discuss one real-world scenario where syntactic constraints alone fail to ensure coherence.</w:t>
      </w:r>
    </w:p>
    <w:p>
      <w:r>
        <w:rPr>
          <w:b/>
          <w:sz w:val="9pt"/>
          <w:szCs w:val="9pt"/>
          <w:color w:val="000000"/>
        </w:rPr>
        <w:t xml:space="preserve">Answer. </w:t>
      </w:r>
      <w:r>
        <w:rPr>
          <w:sz w:val="9pt"/>
          <w:szCs w:val="9pt"/>
          <w:color w:val="000000"/>
        </w:rPr>
        <w:t>Consider a workplace discussion about a project review. Alex carried out the project, while John only arranged the meeting. A colleague says:</w:t>
      </w:r>
    </w:p>
    <w:p>
      <w:r>
        <w:rPr>
          <w:i/>
          <w:sz w:val="9pt"/>
          <w:szCs w:val="9pt"/>
          <w:color w:val="000000"/>
        </w:rPr>
        <w:t>"Alex was responsible for completing the project. John only arranged the review meeting. John met Alex after he finished the project."</w:t>
      </w:r>
    </w:p>
    <w:p>
      <w:r>
        <w:rPr>
          <w:sz w:val="9pt"/>
          <w:szCs w:val="9pt"/>
          <w:color w:val="000000"/>
        </w:rPr>
        <w:t>In the final sentence, both John and Alex remain grammatically possible antecedents. However, the earlier information makes Alex the more likely person who finished the project. A system that relies only on the final sentence's syntax may choose John and give the wrong account of who did the work.</w:t>
      </w:r>
    </w:p>
    <w:p>
      <w:pPr>
        <w:ind w:left="259" w:hanging="259"/>
      </w:pPr>
      <w:r>
        <w:rPr>
          <w:b/>
          <w:sz w:val="9pt"/>
          <w:szCs w:val="9pt"/>
          <w:color w:val="000000"/>
        </w:rPr>
        <w:t xml:space="preserve">1. Discourse information. </w:t>
      </w:r>
      <w:r>
        <w:rPr>
          <w:sz w:val="9pt"/>
          <w:szCs w:val="9pt"/>
          <w:color w:val="000000"/>
        </w:rPr>
        <w:t>The earlier sentences identify Alex as responsible for completing the project.</w:t>
      </w:r>
    </w:p>
    <w:p>
      <w:pPr>
        <w:ind w:left="259" w:hanging="259"/>
      </w:pPr>
      <w:r>
        <w:rPr>
          <w:b/>
          <w:sz w:val="9pt"/>
          <w:szCs w:val="9pt"/>
          <w:color w:val="000000"/>
        </w:rPr>
        <w:t xml:space="preserve">2. Meaning and coherence. </w:t>
      </w:r>
      <w:r>
        <w:rPr>
          <w:sz w:val="9pt"/>
          <w:szCs w:val="9pt"/>
          <w:color w:val="000000"/>
        </w:rPr>
        <w:t>The interpretation should remain consistent with the roles established in the conversation.</w:t>
      </w:r>
    </w:p>
    <w:p>
      <w:pPr>
        <w:ind w:left="259" w:hanging="259"/>
      </w:pPr>
      <w:r>
        <w:rPr>
          <w:b/>
          <w:sz w:val="9pt"/>
          <w:szCs w:val="9pt"/>
          <w:color w:val="000000"/>
        </w:rPr>
        <w:t xml:space="preserve">3. Clearer wording. </w:t>
      </w:r>
      <w:r>
        <w:rPr>
          <w:sz w:val="9pt"/>
          <w:szCs w:val="9pt"/>
          <w:color w:val="000000"/>
        </w:rPr>
        <w:t>The writer can remove the ambiguity by saying, "John met Alex after Alex finished the project."</w:t>
      </w:r>
    </w:p>
    <w:p>
      <w:r>
        <w:rPr>
          <w:b/>
          <w:sz w:val="9pt"/>
          <w:szCs w:val="9pt"/>
          <w:color w:val="000000"/>
        </w:rPr>
        <w:t xml:space="preserve">Conclusion. </w:t>
      </w:r>
      <w:r>
        <w:rPr>
          <w:sz w:val="9pt"/>
          <w:szCs w:val="9pt"/>
          <w:color w:val="000000"/>
        </w:rPr>
        <w:t>Syntax helps reject impossible antecedents, but choosing between grammatically possible candidates may require discourse context and knowledge of the situation.</w:t>
      </w:r>
    </w:p>
    <w:p>
      <w:pPr>
        <w:pStyle w:val="Heading1"/>
      </w:pPr>
      <w:r>
        <w:rPr>
          <w:sz w:val="11.25pt"/>
          <w:szCs w:val="11.25pt"/>
          <w:color w:val="000000"/>
          <w:b w:val="1"/>
        </w:rPr>
        <w:t>References</w:t>
      </w:r>
    </w:p>
    <w:p>
      <w:pPr>
        <w:spacing w:line="276" w:lineRule="auto" w:after="120"/>
      </w:pPr>
      <w:r>
        <w:rPr>
          <w:sz w:val="9pt"/>
          <w:szCs w:val="9pt"/>
          <w:color w:val="000000"/>
        </w:rPr>
        <w:t xml:space="preserve">[1] Princeton University. WordNet. </w:t>
      </w:r>
      <w:hyperlink r:id="rId9">
        <w:r>
          <w:rPr>
            <w:color w:val="000000"/>
            <w:sz w:val="9pt"/>
            <w:szCs w:val="9pt"/>
          </w:rPr>
          <w:t>WordNet overview.</w:t>
        </w:r>
      </w:hyperlink>
    </w:p>
    <w:p>
      <w:pPr>
        <w:spacing w:line="276" w:lineRule="auto" w:after="120"/>
      </w:pPr>
      <w:r>
        <w:rPr>
          <w:sz w:val="9pt"/>
          <w:szCs w:val="9pt"/>
          <w:color w:val="000000"/>
        </w:rPr>
        <w:t xml:space="preserve">[2] Manning, C. D., Raghavan, P., and Schütze, H. 2008. Introduction to Information Retrieval. Chapter 13. </w:t>
      </w:r>
      <w:hyperlink r:id="rId10">
        <w:r>
          <w:rPr>
            <w:color w:val="000000"/>
            <w:sz w:val="9pt"/>
            <w:szCs w:val="9pt"/>
          </w:rPr>
          <w:t>Naïve Bayes text classification.</w:t>
        </w:r>
      </w:hyperlink>
    </w:p>
    <w:p>
      <w:pPr>
        <w:spacing w:line="276" w:lineRule="auto" w:after="120"/>
      </w:pPr>
      <w:r>
        <w:rPr>
          <w:sz w:val="9pt"/>
          <w:szCs w:val="9pt"/>
          <w:color w:val="000000"/>
        </w:rPr>
        <w:t xml:space="preserve">[3] NLTK Project. </w:t>
      </w:r>
      <w:hyperlink r:id="rId11">
        <w:r>
          <w:rPr>
            <w:color w:val="000000"/>
            <w:sz w:val="9pt"/>
            <w:szCs w:val="9pt"/>
          </w:rPr>
          <w:t>Word Sense Disambiguation and the Lesk algorithm.</w:t>
        </w:r>
      </w:hyperlink>
    </w:p>
    <w:p>
      <w:pPr>
        <w:spacing w:line="276" w:lineRule="auto" w:after="120"/>
      </w:pPr>
      <w:r>
        <w:rPr>
          <w:sz w:val="9pt"/>
          <w:szCs w:val="9pt"/>
          <w:color w:val="000000"/>
        </w:rPr>
        <w:t xml:space="preserve">[4] Yarowsky, D. 1995. Unsupervised Word Sense Disambiguation Rivaling Supervised Methods. ACL, pp. 189–196. </w:t>
      </w:r>
      <w:hyperlink r:id="rId12">
        <w:r>
          <w:rPr>
            <w:color w:val="000000"/>
            <w:sz w:val="9pt"/>
            <w:szCs w:val="9pt"/>
          </w:rPr>
          <w:t>Research paper.</w:t>
        </w:r>
      </w:hyperlink>
    </w:p>
    <w:p>
      <w:pPr>
        <w:spacing w:line="276" w:lineRule="auto" w:after="120"/>
      </w:pPr>
      <w:r>
        <w:rPr>
          <w:sz w:val="9pt"/>
          <w:szCs w:val="9pt"/>
          <w:color w:val="000000"/>
        </w:rPr>
        <w:t xml:space="preserve">[5] Hobbs, J. R. 1978. Resolving pronoun references. Lingua, 44, pp. 311–338. </w:t>
      </w:r>
      <w:hyperlink r:id="rId13">
        <w:r>
          <w:rPr>
            <w:color w:val="000000"/>
            <w:sz w:val="9pt"/>
            <w:szCs w:val="9pt"/>
          </w:rPr>
          <w:t>Research paper.</w:t>
        </w:r>
      </w:hyperlink>
    </w:p>
    <w:sectPr w:rsidR="00FC693F" w:rsidRPr="0006063C" w:rsidSect="00034616">
      <w:footerReference w:type="default" r:id="rId14"/>
      <w:pgSz w:w="11905" w:h="16838"/>
      <w:pgMar w:top="1152" w:right="1224" w:bottom="1152" w:left="1440" w:header="720"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jc w:val="center"/>
    </w:pPr>
    <w:r>
      <w:rPr>
        <w:rFonts w:ascii="Times New Roman" w:hAnsi="Times New Roman"/>
        <w:b w:val="0"/>
        <w:color w:val="000000"/>
        <w:sz w:val="9pt"/>
        <w:szCs w:val="9pt"/>
      </w:rPr>
      <w:t xml:space="preserve">Page </w:t>
    </w:r>
    <w:fldSimple w:instr="PAGE"/>
    <w:r>
      <w:rPr>
        <w:rFonts w:ascii="Times New Roman" w:hAnsi="Times New Roman"/>
        <w:b w:val="0"/>
        <w:color w:val="000000"/>
        <w:sz w:val="9pt"/>
        <w:szCs w:val="9pt"/>
      </w:rPr>
      <w:t xml:space="preserve"> of </w:t>
    </w:r>
    <w:fldSimple w:instr="NUMPAGES"/>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after="100"/>
    </w:pPr>
    <w:rPr>
      <w:rFonts w:ascii="Times New Roman" w:hAnsi="Times New Roman" w:eastAsia="Times New Roman" w:cs="Times New Roman"/>
      <w:b w:val="0"/>
      <w:color w:val="000000"/>
      <w:sz w:val="9pt"/>
      <w:szCs w:val="9pt"/>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20" w:line="276" w:lineRule="auto"/>
      <w:outlineLvl w:val="0"/>
    </w:pPr>
    <w:rPr>
      <w:rFonts w:ascii="Times New Roman" w:hAnsi="Times New Roman" w:eastAsia="Times New Roman" w:cs="Times New Roman"/>
      <w:b/>
      <w:bCs/>
      <w:color w:val="000000"/>
      <w:sz w:val="11.25pt"/>
      <w:szCs w:val="11.25pt"/>
    </w:rPr>
  </w:style>
  <w:style w:type="paragraph" w:styleId="Heading2">
    <w:name w:val="heading 2"/>
    <w:basedOn w:val="Normal"/>
    <w:next w:val="Normal"/>
    <w:link w:val="Heading2Char"/>
    <w:uiPriority w:val="9"/>
    <w:unhideWhenUsed/>
    <w:qFormat/>
    <w:rsid w:val="00FC693F"/>
    <w:pPr>
      <w:keepNext/>
      <w:keepLines/>
      <w:widowControl/>
      <w:spacing w:before="200" w:after="120" w:line="276" w:lineRule="auto"/>
      <w:outlineLvl w:val="1"/>
    </w:pPr>
    <w:rPr>
      <w:rFonts w:ascii="Times New Roman" w:hAnsi="Times New Roman" w:eastAsia="Times New Roman" w:cs="Times New Roman"/>
      <w:b/>
      <w:bCs/>
      <w:color w:val="000000"/>
      <w:sz w:val="11.25pt"/>
      <w:szCs w:val="11.25pt"/>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120" w:line="276" w:lineRule="auto" w:before="0"/>
      <w:contextualSpacing/>
    </w:pPr>
    <w:rPr>
      <w:rFonts w:ascii="Times New Roman" w:hAnsi="Times New Roman" w:eastAsia="Times New Roman" w:cs="Times New Roman"/>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line="360" w:lineRule="auto" w:after="100"/>
      <w:contextualSpacing/>
    </w:pPr>
    <w:rPr>
      <w:rFonts w:ascii="Times New Roman" w:hAnsi="Times New Roman" w:eastAsia="Times New Roman" w:cs="Times New Roman"/>
      <w:b w:val="0"/>
      <w:color w:val="000000"/>
      <w:sz w:val="9pt"/>
      <w:szCs w:val="9pt"/>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line="360" w:lineRule="auto" w:after="100"/>
      <w:contextualSpacing/>
    </w:pPr>
    <w:rPr>
      <w:rFonts w:ascii="Times New Roman" w:hAnsi="Times New Roman" w:eastAsia="Times New Roman" w:cs="Times New Roman"/>
      <w:b w:val="0"/>
      <w:color w:val="000000"/>
      <w:sz w:val="9pt"/>
      <w:szCs w:val="9pt"/>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ordnet.princeton.edu/front" TargetMode="External"/><Relationship Id="rId10" Type="http://schemas.openxmlformats.org/officeDocument/2006/relationships/hyperlink" Target="https://nlp.stanford.edu/IR-book/html/htmledition/naive-bayes-text-classification-1.html" TargetMode="External"/><Relationship Id="rId11" Type="http://schemas.openxmlformats.org/officeDocument/2006/relationships/hyperlink" Target="https://www.nltk.org/howto/wsd.html" TargetMode="External"/><Relationship Id="rId12" Type="http://schemas.openxmlformats.org/officeDocument/2006/relationships/hyperlink" Target="https://aclanthology.org/P95-1026/" TargetMode="External"/><Relationship Id="rId13" Type="http://schemas.openxmlformats.org/officeDocument/2006/relationships/hyperlink" Target="https://doi.org/10.1016/0024-3841(78)90006-2"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Natural Language Processing Assignment 2</dc:title>
  <dc:subject>Lexical ambiguity, word sense disambiguation and anaphora resolution</dc:subject>
  <dc:creator>Ansari Jafeer</dc:creator>
  <cp:keywords/>
  <dc:description/>
  <cp:lastModifiedBy/>
  <cp:revision>1</cp:revision>
  <dcterms:created xsi:type="dcterms:W3CDTF">2013-12-23T23:15:00Z</dcterms:created>
  <dcterms:modified xsi:type="dcterms:W3CDTF">2013-12-23T23:15:00Z</dcterms:modified>
  <cp:category/>
</cp:coreProperties>
</file>