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60" w:rsidRPr="001D5E89" w:rsidRDefault="00D978A8" w:rsidP="00787160">
      <w:pPr>
        <w:pStyle w:val="Ttulo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56390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4.5.2</w:t>
      </w:r>
      <w:r w:rsidR="00787160"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r w:rsidR="002D0C4C">
        <w:rPr>
          <w:rFonts w:asciiTheme="minorHAnsi" w:hAnsiTheme="minorHAnsi" w:cstheme="minorHAnsi"/>
          <w:color w:val="000000"/>
          <w:sz w:val="22"/>
          <w:szCs w:val="22"/>
          <w:lang w:val="es-ES"/>
        </w:rPr>
        <w:t>Ala Moana</w:t>
      </w:r>
      <w:bookmarkEnd w:id="0"/>
    </w:p>
    <w:p w:rsidR="00787160" w:rsidRPr="002504C5" w:rsidRDefault="00787160" w:rsidP="00787160">
      <w:pPr>
        <w:ind w:firstLine="708"/>
        <w:jc w:val="both"/>
        <w:rPr>
          <w:rFonts w:cstheme="minorHAnsi"/>
          <w:color w:val="000000"/>
          <w:lang w:val="es-ES"/>
        </w:rPr>
      </w:pPr>
      <w:r w:rsidRPr="002504C5">
        <w:rPr>
          <w:rFonts w:cstheme="minorHAnsi"/>
          <w:color w:val="000000"/>
          <w:lang w:val="es-ES"/>
        </w:rPr>
        <w:t xml:space="preserve">Esta ola se localiza en la costa </w:t>
      </w:r>
      <w:r w:rsidR="002D0C4C">
        <w:rPr>
          <w:rFonts w:cstheme="minorHAnsi"/>
          <w:color w:val="000000"/>
          <w:lang w:val="es-ES"/>
        </w:rPr>
        <w:t>sur</w:t>
      </w:r>
      <w:r w:rsidRPr="002504C5">
        <w:rPr>
          <w:rFonts w:cstheme="minorHAnsi"/>
          <w:color w:val="000000"/>
          <w:lang w:val="es-ES"/>
        </w:rPr>
        <w:t xml:space="preserve"> de Oahu, según se ve en la siguiente figura. La estrella naranja simboliza la ubicación aproximada del GridPoint utilizado del modelo WAVEWATCH III como fuente de pronósticos mar adentro.</w:t>
      </w:r>
    </w:p>
    <w:p w:rsidR="00787160" w:rsidRPr="002504C5" w:rsidRDefault="002D0C4C" w:rsidP="00787160">
      <w:pPr>
        <w:ind w:firstLine="708"/>
        <w:jc w:val="center"/>
        <w:rPr>
          <w:rFonts w:cstheme="minorHAnsi"/>
          <w:color w:val="000000"/>
          <w:lang w:val="es-ES"/>
        </w:rPr>
      </w:pPr>
      <w:r>
        <w:rPr>
          <w:rFonts w:cstheme="minorHAnsi"/>
          <w:noProof/>
          <w:color w:val="000000"/>
          <w:lang w:val="es-ES" w:eastAsia="es-ES"/>
        </w:rPr>
        <w:drawing>
          <wp:inline distT="0" distB="0" distL="0" distR="0">
            <wp:extent cx="4406301" cy="2955665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19" cy="295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60" w:rsidRPr="002504C5" w:rsidRDefault="00C04934" w:rsidP="00787160">
      <w:pPr>
        <w:pStyle w:val="estilofiguras"/>
        <w:rPr>
          <w:lang w:val="es-ES"/>
        </w:rPr>
      </w:pPr>
      <w:bookmarkStart w:id="1" w:name="_Toc262156433"/>
      <w:r>
        <w:rPr>
          <w:lang w:val="es-ES"/>
        </w:rPr>
        <w:t>Fig. 4.6</w:t>
      </w:r>
      <w:r w:rsidR="00787160" w:rsidRPr="002504C5">
        <w:rPr>
          <w:lang w:val="es-ES"/>
        </w:rPr>
        <w:t xml:space="preserve">: Localización </w:t>
      </w:r>
      <w:r w:rsidR="002D0C4C">
        <w:rPr>
          <w:lang w:val="es-ES"/>
        </w:rPr>
        <w:t>Ala Moana</w:t>
      </w:r>
      <w:r w:rsidR="00787160" w:rsidRPr="002504C5">
        <w:rPr>
          <w:lang w:val="es-ES"/>
        </w:rPr>
        <w:t>, Oahu, Hawái.</w:t>
      </w:r>
      <w:bookmarkEnd w:id="1"/>
    </w:p>
    <w:p w:rsidR="00787160" w:rsidRPr="002504C5" w:rsidRDefault="00BC02B4" w:rsidP="00787160">
      <w:pPr>
        <w:ind w:firstLine="708"/>
        <w:jc w:val="both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 xml:space="preserve">En las </w:t>
      </w:r>
      <w:r w:rsidR="00C04934">
        <w:rPr>
          <w:rFonts w:cstheme="minorHAnsi"/>
          <w:color w:val="000000"/>
          <w:lang w:val="es-ES"/>
        </w:rPr>
        <w:t>siguientes dos tablas 4.9 y 4.10</w:t>
      </w:r>
      <w:r w:rsidR="00787160" w:rsidRPr="002504C5">
        <w:rPr>
          <w:rFonts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r w:rsidR="002D0C4C">
        <w:rPr>
          <w:rFonts w:cstheme="minorHAnsi"/>
          <w:color w:val="000000"/>
          <w:lang w:val="es-ES"/>
        </w:rPr>
        <w:t>Ala Moana</w:t>
      </w:r>
      <w:r w:rsidR="00787160" w:rsidRPr="002504C5">
        <w:rPr>
          <w:rFonts w:cstheme="minorHAnsi"/>
          <w:color w:val="000000"/>
          <w:lang w:val="es-ES"/>
        </w:rPr>
        <w:t xml:space="preserve"> respectivamente.</w:t>
      </w:r>
    </w:p>
    <w:tbl>
      <w:tblPr>
        <w:tblStyle w:val="Tablaconcuadrcula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787160" w:rsidRPr="002504C5" w:rsidTr="00AA6AD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787160" w:rsidRPr="002504C5" w:rsidRDefault="00787160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2504C5">
              <w:rPr>
                <w:rFonts w:cstheme="minorHAnsi"/>
                <w:color w:val="000000"/>
                <w:sz w:val="20"/>
                <w:szCs w:val="20"/>
              </w:rPr>
              <w:t>Correlación WW3 / Obs.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787160" w:rsidRPr="002504C5" w:rsidRDefault="00787160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2504C5">
              <w:rPr>
                <w:rFonts w:cstheme="minorHAnsi"/>
                <w:color w:val="000000"/>
                <w:sz w:val="20"/>
                <w:szCs w:val="20"/>
              </w:rPr>
              <w:t>Correlación SVM / Obs. Visual</w:t>
            </w:r>
          </w:p>
        </w:tc>
      </w:tr>
      <w:tr w:rsidR="00787160" w:rsidRPr="002504C5" w:rsidTr="00AA6ADC">
        <w:trPr>
          <w:jc w:val="center"/>
        </w:trPr>
        <w:tc>
          <w:tcPr>
            <w:tcW w:w="2816" w:type="dxa"/>
          </w:tcPr>
          <w:p w:rsidR="00787160" w:rsidRPr="002504C5" w:rsidRDefault="00BC0106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</w:t>
            </w:r>
            <w:r w:rsidR="00787160" w:rsidRPr="002504C5">
              <w:rPr>
                <w:rFonts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735" w:type="dxa"/>
          </w:tcPr>
          <w:p w:rsidR="00787160" w:rsidRPr="002504C5" w:rsidRDefault="00BC0106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50</w:t>
            </w:r>
            <w:r w:rsidR="00787160" w:rsidRPr="002504C5">
              <w:rPr>
                <w:rFonts w:cstheme="minorHAnsi"/>
                <w:color w:val="000000"/>
                <w:sz w:val="20"/>
                <w:szCs w:val="20"/>
              </w:rPr>
              <w:t>%</w:t>
            </w:r>
          </w:p>
        </w:tc>
      </w:tr>
    </w:tbl>
    <w:p w:rsidR="00787160" w:rsidRDefault="00C04934" w:rsidP="00787160">
      <w:pPr>
        <w:pStyle w:val="estilofiguras"/>
        <w:rPr>
          <w:lang w:val="es-ES"/>
        </w:rPr>
      </w:pPr>
      <w:bookmarkStart w:id="2" w:name="_Toc262156434"/>
      <w:r>
        <w:rPr>
          <w:lang w:val="es-ES"/>
        </w:rPr>
        <w:t>Tabla 4.9</w:t>
      </w:r>
      <w:r w:rsidR="00787160">
        <w:rPr>
          <w:lang w:val="es-ES"/>
        </w:rPr>
        <w:t xml:space="preserve">: Correlación en </w:t>
      </w:r>
      <w:r w:rsidR="002D0C4C">
        <w:rPr>
          <w:lang w:val="es-ES"/>
        </w:rPr>
        <w:t>Ala Moana</w:t>
      </w:r>
      <w:r w:rsidR="00787160">
        <w:rPr>
          <w:lang w:val="es-ES"/>
        </w:rPr>
        <w:t>.</w:t>
      </w:r>
      <w:bookmarkEnd w:id="2"/>
    </w:p>
    <w:p w:rsidR="00787160" w:rsidRPr="002504C5" w:rsidRDefault="00787160" w:rsidP="00787160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613"/>
        <w:gridCol w:w="2835"/>
      </w:tblGrid>
      <w:tr w:rsidR="00787160" w:rsidRPr="002504C5" w:rsidTr="00AA6AD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787160" w:rsidRPr="002504C5" w:rsidRDefault="00787160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2504C5">
              <w:rPr>
                <w:rFonts w:cstheme="minorHAnsi"/>
                <w:color w:val="000000"/>
                <w:sz w:val="20"/>
                <w:szCs w:val="20"/>
              </w:rPr>
              <w:t>MAE WW3 / Obs.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87160" w:rsidRPr="002504C5" w:rsidRDefault="00787160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2504C5">
              <w:rPr>
                <w:rFonts w:cstheme="minorHAnsi"/>
                <w:color w:val="000000"/>
                <w:sz w:val="20"/>
                <w:szCs w:val="20"/>
              </w:rPr>
              <w:t xml:space="preserve">MAE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SVM </w:t>
            </w:r>
            <w:r w:rsidRPr="002504C5"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504C5">
              <w:rPr>
                <w:rFonts w:cstheme="minorHAnsi"/>
                <w:color w:val="000000"/>
                <w:sz w:val="20"/>
                <w:szCs w:val="20"/>
              </w:rPr>
              <w:t>Obs. Visual</w:t>
            </w:r>
          </w:p>
        </w:tc>
      </w:tr>
      <w:tr w:rsidR="00787160" w:rsidRPr="002504C5" w:rsidTr="00AA6ADC">
        <w:trPr>
          <w:jc w:val="center"/>
        </w:trPr>
        <w:tc>
          <w:tcPr>
            <w:tcW w:w="2613" w:type="dxa"/>
          </w:tcPr>
          <w:p w:rsidR="00787160" w:rsidRPr="002504C5" w:rsidRDefault="00BC0106" w:rsidP="00AA6ADC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1.18</w:t>
            </w:r>
            <w:r w:rsidR="00787160" w:rsidRPr="002504C5">
              <w:rPr>
                <w:rFonts w:cstheme="minorHAnsi"/>
                <w:color w:val="000000"/>
                <w:sz w:val="20"/>
                <w:szCs w:val="20"/>
              </w:rPr>
              <w:t xml:space="preserve"> mts</w:t>
            </w:r>
          </w:p>
        </w:tc>
        <w:tc>
          <w:tcPr>
            <w:tcW w:w="2835" w:type="dxa"/>
          </w:tcPr>
          <w:p w:rsidR="00787160" w:rsidRPr="002504C5" w:rsidRDefault="00787160" w:rsidP="00BC0106">
            <w:pPr>
              <w:spacing w:after="20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2504C5">
              <w:rPr>
                <w:rFonts w:cstheme="minorHAnsi"/>
                <w:color w:val="000000"/>
                <w:sz w:val="20"/>
                <w:szCs w:val="20"/>
              </w:rPr>
              <w:t>0.</w:t>
            </w:r>
            <w:r w:rsidR="00BC0106">
              <w:rPr>
                <w:rFonts w:cstheme="minorHAnsi"/>
                <w:color w:val="000000"/>
                <w:sz w:val="20"/>
                <w:szCs w:val="20"/>
              </w:rPr>
              <w:t>46</w:t>
            </w:r>
            <w:r w:rsidRPr="002504C5">
              <w:rPr>
                <w:rFonts w:cstheme="minorHAnsi"/>
                <w:color w:val="000000"/>
                <w:sz w:val="20"/>
                <w:szCs w:val="20"/>
              </w:rPr>
              <w:t xml:space="preserve"> mts</w:t>
            </w:r>
          </w:p>
        </w:tc>
      </w:tr>
    </w:tbl>
    <w:p w:rsidR="00787160" w:rsidRPr="002504C5" w:rsidRDefault="00C04934" w:rsidP="00787160">
      <w:pPr>
        <w:pStyle w:val="estilofiguras"/>
        <w:rPr>
          <w:lang w:val="es-ES"/>
        </w:rPr>
      </w:pPr>
      <w:bookmarkStart w:id="3" w:name="_Toc262156435"/>
      <w:r>
        <w:rPr>
          <w:lang w:val="es-ES"/>
        </w:rPr>
        <w:t>Tabla 4.10</w:t>
      </w:r>
      <w:r w:rsidR="00787160">
        <w:rPr>
          <w:lang w:val="es-ES"/>
        </w:rPr>
        <w:t xml:space="preserve">: MAE en </w:t>
      </w:r>
      <w:r w:rsidR="002D0C4C">
        <w:rPr>
          <w:lang w:val="es-ES"/>
        </w:rPr>
        <w:t>Ala Moana</w:t>
      </w:r>
      <w:r w:rsidR="00787160">
        <w:rPr>
          <w:lang w:val="es-ES"/>
        </w:rPr>
        <w:t>.</w:t>
      </w:r>
      <w:bookmarkEnd w:id="3"/>
    </w:p>
    <w:p w:rsidR="00787160" w:rsidRPr="002504C5" w:rsidRDefault="00787160" w:rsidP="00787160">
      <w:pPr>
        <w:ind w:firstLine="708"/>
        <w:jc w:val="both"/>
        <w:rPr>
          <w:rFonts w:cstheme="minorHAnsi"/>
          <w:color w:val="000000"/>
          <w:lang w:val="es-ES"/>
        </w:rPr>
      </w:pPr>
      <w:r w:rsidRPr="002504C5">
        <w:rPr>
          <w:rFonts w:cstheme="minorHAnsi"/>
          <w:color w:val="000000"/>
          <w:lang w:val="es-ES"/>
        </w:rPr>
        <w:t xml:space="preserve">A </w:t>
      </w:r>
      <w:r w:rsidR="00C04934">
        <w:rPr>
          <w:rFonts w:cstheme="minorHAnsi"/>
          <w:color w:val="000000"/>
          <w:lang w:val="es-ES"/>
        </w:rPr>
        <w:t>continuación, en las figuras 4.7 y 4.8</w:t>
      </w:r>
      <w:r w:rsidRPr="002504C5">
        <w:rPr>
          <w:rFonts w:cstheme="minorHAnsi"/>
          <w:color w:val="000000"/>
          <w:lang w:val="es-ES"/>
        </w:rPr>
        <w:t xml:space="preserve">, se grafican el valor de altura de ola predicho por cada uno de los sistemas en </w:t>
      </w:r>
      <w:r w:rsidR="00FF7018">
        <w:rPr>
          <w:rFonts w:cstheme="minorHAnsi"/>
          <w:color w:val="000000"/>
          <w:lang w:val="es-ES"/>
        </w:rPr>
        <w:t>comparados</w:t>
      </w:r>
      <w:r w:rsidRPr="002504C5">
        <w:rPr>
          <w:rFonts w:cstheme="minorHAnsi"/>
          <w:color w:val="000000"/>
          <w:lang w:val="es-ES"/>
        </w:rPr>
        <w:t xml:space="preserve"> con el valor de altura de ola </w:t>
      </w:r>
      <w:r w:rsidR="00FF7018">
        <w:rPr>
          <w:rFonts w:cstheme="minorHAnsi"/>
          <w:color w:val="000000"/>
          <w:lang w:val="es-ES"/>
        </w:rPr>
        <w:t>reportado por el observador.</w:t>
      </w:r>
      <w:r w:rsidRPr="002504C5">
        <w:rPr>
          <w:rFonts w:cstheme="minorHAnsi"/>
          <w:color w:val="000000"/>
          <w:lang w:val="es-ES"/>
        </w:rPr>
        <w:t xml:space="preserve"> </w:t>
      </w:r>
    </w:p>
    <w:p w:rsidR="00787160" w:rsidRPr="002504C5" w:rsidRDefault="00787160" w:rsidP="00787160">
      <w:pPr>
        <w:ind w:firstLine="708"/>
        <w:jc w:val="both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lastRenderedPageBreak/>
        <w:t>Al mismo tiempo, en las figuras</w:t>
      </w:r>
      <w:r w:rsidR="00C04934">
        <w:rPr>
          <w:rFonts w:cstheme="minorHAnsi"/>
          <w:color w:val="000000"/>
          <w:lang w:val="es-ES"/>
        </w:rPr>
        <w:t xml:space="preserve"> 4.9 y 4.10</w:t>
      </w:r>
      <w:r w:rsidRPr="002504C5">
        <w:rPr>
          <w:rFonts w:cstheme="minorHAnsi"/>
          <w:color w:val="000000"/>
          <w:lang w:val="es-ES"/>
        </w:rPr>
        <w:t xml:space="preserve">, muestran dos gráficos de dispersión que relacionan las predicciones del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787160" w:rsidRPr="002504C5" w:rsidRDefault="00787160" w:rsidP="00787160">
      <w:pPr>
        <w:ind w:firstLine="708"/>
        <w:jc w:val="both"/>
        <w:rPr>
          <w:rFonts w:cstheme="minorHAnsi"/>
          <w:color w:val="000000"/>
          <w:lang w:val="es-ES"/>
        </w:rPr>
        <w:sectPr w:rsidR="00787160" w:rsidRPr="002504C5" w:rsidSect="00470430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87160" w:rsidRPr="002504C5" w:rsidRDefault="00614B16" w:rsidP="00787160">
      <w:pPr>
        <w:ind w:firstLine="708"/>
        <w:jc w:val="center"/>
        <w:rPr>
          <w:rFonts w:cstheme="minorHAnsi"/>
          <w:color w:val="000000"/>
          <w:lang w:val="es-ES"/>
        </w:rPr>
      </w:pPr>
      <w:r w:rsidRPr="00614B16">
        <w:rPr>
          <w:rFonts w:cstheme="minorHAnsi"/>
          <w:color w:val="000000"/>
          <w:lang w:val="es-ES"/>
        </w:rPr>
        <w:lastRenderedPageBreak/>
        <w:drawing>
          <wp:inline distT="0" distB="0" distL="0" distR="0">
            <wp:extent cx="8226005" cy="2130724"/>
            <wp:effectExtent l="19050" t="0" r="22645" b="2876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7160" w:rsidRPr="002504C5" w:rsidRDefault="00C04934" w:rsidP="00787160">
      <w:pPr>
        <w:pStyle w:val="estilofiguras"/>
        <w:rPr>
          <w:lang w:val="es-ES"/>
        </w:rPr>
      </w:pPr>
      <w:bookmarkStart w:id="4" w:name="_Toc262156436"/>
      <w:r>
        <w:rPr>
          <w:lang w:val="es-ES"/>
        </w:rPr>
        <w:t>Fig. 4.7</w:t>
      </w:r>
      <w:r w:rsidR="00787160" w:rsidRPr="002504C5">
        <w:rPr>
          <w:lang w:val="es-ES"/>
        </w:rPr>
        <w:t xml:space="preserve">: Altura de ola predicha en </w:t>
      </w:r>
      <w:r w:rsidR="002D0C4C">
        <w:rPr>
          <w:lang w:val="es-ES"/>
        </w:rPr>
        <w:t>Ala Moana</w:t>
      </w:r>
      <w:r w:rsidR="00787160"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787160" w:rsidRDefault="00787160" w:rsidP="00787160">
      <w:pPr>
        <w:ind w:firstLine="708"/>
        <w:jc w:val="center"/>
        <w:rPr>
          <w:rFonts w:cstheme="minorHAnsi"/>
          <w:color w:val="000000"/>
          <w:lang w:val="es-ES"/>
        </w:rPr>
      </w:pPr>
    </w:p>
    <w:p w:rsidR="00787160" w:rsidRPr="002504C5" w:rsidRDefault="00614B16" w:rsidP="00787160">
      <w:pPr>
        <w:ind w:firstLine="708"/>
        <w:jc w:val="center"/>
        <w:rPr>
          <w:rFonts w:cstheme="minorHAnsi"/>
          <w:color w:val="000000"/>
          <w:lang w:val="es-ES"/>
        </w:rPr>
      </w:pPr>
      <w:r w:rsidRPr="00614B16">
        <w:rPr>
          <w:rFonts w:cstheme="minorHAnsi"/>
          <w:color w:val="000000"/>
          <w:lang w:val="es-ES"/>
        </w:rPr>
        <w:drawing>
          <wp:inline distT="0" distB="0" distL="0" distR="0">
            <wp:extent cx="8232355" cy="2260121"/>
            <wp:effectExtent l="19050" t="0" r="16295" b="6829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87160" w:rsidRPr="002504C5" w:rsidRDefault="00C04934" w:rsidP="00787160">
      <w:pPr>
        <w:pStyle w:val="estilofiguras"/>
        <w:rPr>
          <w:lang w:val="es-ES"/>
        </w:rPr>
        <w:sectPr w:rsidR="00787160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56437"/>
      <w:r>
        <w:rPr>
          <w:lang w:val="es-ES"/>
        </w:rPr>
        <w:t>Fig. 4.8</w:t>
      </w:r>
      <w:r w:rsidR="00787160" w:rsidRPr="002504C5">
        <w:rPr>
          <w:lang w:val="es-ES"/>
        </w:rPr>
        <w:t xml:space="preserve">: Altura de la ola predicha en </w:t>
      </w:r>
      <w:r w:rsidR="002D0C4C">
        <w:rPr>
          <w:lang w:val="es-ES"/>
        </w:rPr>
        <w:t>Ala Moana</w:t>
      </w:r>
      <w:r w:rsidR="00787160" w:rsidRPr="002504C5">
        <w:rPr>
          <w:lang w:val="es-ES"/>
        </w:rPr>
        <w:t xml:space="preserve"> por SVM en contraste con las observaciones visuales en la costa.</w:t>
      </w:r>
      <w:bookmarkEnd w:id="5"/>
    </w:p>
    <w:p w:rsidR="00787160" w:rsidRPr="002504C5" w:rsidRDefault="00614B16" w:rsidP="00787160">
      <w:pPr>
        <w:ind w:firstLine="708"/>
        <w:jc w:val="center"/>
        <w:rPr>
          <w:rFonts w:cstheme="minorHAnsi"/>
          <w:color w:val="000000"/>
          <w:lang w:val="es-ES"/>
        </w:rPr>
      </w:pPr>
      <w:r w:rsidRPr="00614B16">
        <w:rPr>
          <w:rFonts w:cstheme="minorHAnsi"/>
          <w:color w:val="000000"/>
          <w:lang w:val="es-ES"/>
        </w:rPr>
        <w:lastRenderedPageBreak/>
        <w:drawing>
          <wp:inline distT="0" distB="0" distL="0" distR="0">
            <wp:extent cx="5375743" cy="2941608"/>
            <wp:effectExtent l="19050" t="0" r="15407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87160" w:rsidRPr="002504C5" w:rsidRDefault="00C04934" w:rsidP="00787160">
      <w:pPr>
        <w:pStyle w:val="estilofiguras"/>
        <w:rPr>
          <w:lang w:val="es-ES"/>
        </w:rPr>
      </w:pPr>
      <w:bookmarkStart w:id="6" w:name="_Toc262156438"/>
      <w:r>
        <w:rPr>
          <w:lang w:val="es-ES"/>
        </w:rPr>
        <w:t>Fig. 4.9</w:t>
      </w:r>
      <w:r w:rsidR="00787160" w:rsidRPr="002504C5">
        <w:rPr>
          <w:lang w:val="es-ES"/>
        </w:rPr>
        <w:t xml:space="preserve">: Grafico de dispersión (en base a la altura de las olas) en </w:t>
      </w:r>
      <w:r w:rsidR="002D0C4C">
        <w:rPr>
          <w:lang w:val="es-ES"/>
        </w:rPr>
        <w:t>Ala Moana</w:t>
      </w:r>
      <w:r w:rsidR="00787160" w:rsidRPr="002504C5">
        <w:rPr>
          <w:lang w:val="es-ES"/>
        </w:rPr>
        <w:t xml:space="preserve"> entre las predicciones de WAVEWATCH III y las observaciones costeras.</w:t>
      </w:r>
      <w:bookmarkEnd w:id="6"/>
    </w:p>
    <w:p w:rsidR="00787160" w:rsidRPr="002504C5" w:rsidRDefault="00787160" w:rsidP="00787160">
      <w:pPr>
        <w:ind w:firstLine="708"/>
        <w:jc w:val="both"/>
        <w:rPr>
          <w:rFonts w:cstheme="minorHAnsi"/>
          <w:color w:val="000000"/>
          <w:lang w:val="es-ES"/>
        </w:rPr>
      </w:pPr>
    </w:p>
    <w:p w:rsidR="00787160" w:rsidRPr="002504C5" w:rsidRDefault="00614B16" w:rsidP="00787160">
      <w:pPr>
        <w:ind w:firstLine="708"/>
        <w:jc w:val="center"/>
        <w:rPr>
          <w:rFonts w:cstheme="minorHAnsi"/>
          <w:color w:val="000000"/>
          <w:lang w:val="es-ES"/>
        </w:rPr>
      </w:pPr>
      <w:r w:rsidRPr="00614B16">
        <w:rPr>
          <w:rFonts w:cstheme="minorHAnsi"/>
          <w:color w:val="000000"/>
          <w:lang w:val="es-ES"/>
        </w:rPr>
        <w:drawing>
          <wp:inline distT="0" distB="0" distL="0" distR="0">
            <wp:extent cx="5374473" cy="3099795"/>
            <wp:effectExtent l="19050" t="0" r="16677" b="535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7160" w:rsidRPr="002504C5" w:rsidRDefault="00C04934" w:rsidP="00787160">
      <w:pPr>
        <w:pStyle w:val="estilofiguras"/>
        <w:rPr>
          <w:lang w:val="es-ES"/>
        </w:rPr>
      </w:pPr>
      <w:bookmarkStart w:id="7" w:name="_Toc262156439"/>
      <w:r>
        <w:rPr>
          <w:lang w:val="es-ES"/>
        </w:rPr>
        <w:t>Fig. 4.10</w:t>
      </w:r>
      <w:r w:rsidR="00787160" w:rsidRPr="002504C5">
        <w:rPr>
          <w:lang w:val="es-ES"/>
        </w:rPr>
        <w:t xml:space="preserve">: Grafico de dispersión (en base a la altura de las olas) en </w:t>
      </w:r>
      <w:r w:rsidR="002D0C4C">
        <w:rPr>
          <w:lang w:val="es-ES"/>
        </w:rPr>
        <w:t>Ala Moana</w:t>
      </w:r>
      <w:r w:rsidR="00787160" w:rsidRPr="002504C5">
        <w:rPr>
          <w:lang w:val="es-ES"/>
        </w:rPr>
        <w:t xml:space="preserve"> entre las predicciones de SVM y las observaciones costeras.</w:t>
      </w:r>
      <w:bookmarkEnd w:id="7"/>
    </w:p>
    <w:p w:rsidR="00787160" w:rsidRPr="002504C5" w:rsidRDefault="00FE2D38" w:rsidP="00FE2D38">
      <w:pPr>
        <w:ind w:firstLine="708"/>
        <w:jc w:val="both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Nuevamente se puede observar gráficamente las mejoras al utilizar un algoritmo de aprendizaje no lineal para predicción de oleaje. En este caso</w:t>
      </w:r>
      <w:r w:rsidR="00787160" w:rsidRPr="002504C5">
        <w:rPr>
          <w:rFonts w:cstheme="minorHAnsi"/>
          <w:color w:val="000000"/>
          <w:lang w:val="es-ES"/>
        </w:rPr>
        <w:t xml:space="preserve"> las tablas </w:t>
      </w:r>
      <w:r w:rsidR="0004592D">
        <w:rPr>
          <w:rFonts w:cstheme="minorHAnsi"/>
          <w:color w:val="000000"/>
          <w:lang w:val="es-ES"/>
        </w:rPr>
        <w:t>4.9 y 4.10</w:t>
      </w:r>
      <w:r w:rsidR="00787160" w:rsidRPr="002504C5">
        <w:rPr>
          <w:rFonts w:cstheme="minorHAnsi"/>
          <w:color w:val="000000"/>
          <w:lang w:val="es-ES"/>
        </w:rPr>
        <w:t xml:space="preserve"> </w:t>
      </w:r>
      <w:r>
        <w:rPr>
          <w:rFonts w:cstheme="minorHAnsi"/>
          <w:color w:val="000000"/>
          <w:lang w:val="es-ES"/>
        </w:rPr>
        <w:t>muestran</w:t>
      </w:r>
      <w:r w:rsidR="00787160" w:rsidRPr="002504C5">
        <w:rPr>
          <w:rFonts w:cstheme="minorHAnsi"/>
          <w:color w:val="000000"/>
          <w:lang w:val="es-ES"/>
        </w:rPr>
        <w:t xml:space="preserve"> un incr</w:t>
      </w:r>
      <w:r w:rsidR="0004592D">
        <w:rPr>
          <w:rFonts w:cstheme="minorHAnsi"/>
          <w:color w:val="000000"/>
          <w:lang w:val="es-ES"/>
        </w:rPr>
        <w:t>emento en la correlación de un 50</w:t>
      </w:r>
      <w:r w:rsidR="00787160" w:rsidRPr="002504C5">
        <w:rPr>
          <w:rFonts w:cstheme="minorHAnsi"/>
          <w:color w:val="000000"/>
          <w:lang w:val="es-ES"/>
        </w:rPr>
        <w:t>% y una disminución d</w:t>
      </w:r>
      <w:r w:rsidR="0004592D">
        <w:rPr>
          <w:rFonts w:cstheme="minorHAnsi"/>
          <w:color w:val="000000"/>
          <w:lang w:val="es-ES"/>
        </w:rPr>
        <w:t>el error absoluto promedio de 72</w:t>
      </w:r>
      <w:r w:rsidR="00787160" w:rsidRPr="002504C5">
        <w:rPr>
          <w:rFonts w:cstheme="minorHAnsi"/>
          <w:color w:val="000000"/>
          <w:lang w:val="es-ES"/>
        </w:rPr>
        <w:t xml:space="preserve"> </w:t>
      </w:r>
      <w:r w:rsidR="0004592D">
        <w:rPr>
          <w:rFonts w:cstheme="minorHAnsi"/>
          <w:color w:val="000000"/>
          <w:lang w:val="es-ES"/>
        </w:rPr>
        <w:t xml:space="preserve">cm, </w:t>
      </w:r>
      <w:r w:rsidR="0004592D">
        <w:rPr>
          <w:rFonts w:cstheme="minorHAnsi"/>
          <w:color w:val="000000"/>
          <w:lang w:val="es-ES"/>
        </w:rPr>
        <w:lastRenderedPageBreak/>
        <w:t>es decir una mejora de un 61</w:t>
      </w:r>
      <w:r w:rsidR="00787160" w:rsidRPr="002504C5">
        <w:rPr>
          <w:rFonts w:cstheme="minorHAnsi"/>
          <w:color w:val="000000"/>
          <w:lang w:val="es-ES"/>
        </w:rPr>
        <w:t>% en el error absoluto medio.</w:t>
      </w:r>
      <w:r>
        <w:rPr>
          <w:rFonts w:cstheme="minorHAnsi"/>
          <w:color w:val="000000"/>
          <w:lang w:val="es-ES"/>
        </w:rPr>
        <w:t xml:space="preserve"> En este caso pasamos de tener un predictor con 0% de correlación contra las observaciones visuales a un predictor entrenado que alcanza un 50% de correlación</w:t>
      </w:r>
      <w:r w:rsidR="00787160" w:rsidRPr="002504C5">
        <w:rPr>
          <w:rFonts w:cstheme="minorHAnsi"/>
          <w:color w:val="000000"/>
          <w:lang w:val="es-ES"/>
        </w:rPr>
        <w:t xml:space="preserve"> </w:t>
      </w:r>
      <w:r>
        <w:rPr>
          <w:rFonts w:cstheme="minorHAnsi"/>
          <w:color w:val="000000"/>
          <w:lang w:val="es-ES"/>
        </w:rPr>
        <w:t>con lo ocurrido en la ubicación del observador.</w:t>
      </w:r>
    </w:p>
    <w:p w:rsidR="00787160" w:rsidRPr="0057427A" w:rsidRDefault="00FE2D38" w:rsidP="00787160">
      <w:pPr>
        <w:ind w:firstLine="708"/>
        <w:jc w:val="both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En</w:t>
      </w:r>
      <w:r w:rsidR="00787160" w:rsidRPr="002504C5">
        <w:rPr>
          <w:rFonts w:cstheme="minorHAnsi"/>
          <w:color w:val="000000"/>
          <w:lang w:val="es-ES"/>
        </w:rPr>
        <w:t xml:space="preserve"> los  gráficos de dispersión, se nota</w:t>
      </w:r>
      <w:r>
        <w:rPr>
          <w:rFonts w:cstheme="minorHAnsi"/>
          <w:color w:val="000000"/>
          <w:lang w:val="es-ES"/>
        </w:rPr>
        <w:t xml:space="preserve"> claramente como mejoran las predicciones, ajustando todas las predicciones alrededor de la línea verde (indicador del ideal).</w:t>
      </w:r>
    </w:p>
    <w:p w:rsidR="00433067" w:rsidRPr="00787160" w:rsidRDefault="00433067" w:rsidP="00787160"/>
    <w:sectPr w:rsidR="00433067" w:rsidRPr="00787160" w:rsidSect="00C7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726" w:rsidRDefault="00CD6726" w:rsidP="00326CE5">
      <w:pPr>
        <w:spacing w:after="0" w:line="240" w:lineRule="auto"/>
      </w:pPr>
      <w:r>
        <w:separator/>
      </w:r>
    </w:p>
  </w:endnote>
  <w:endnote w:type="continuationSeparator" w:id="1">
    <w:p w:rsidR="00CD6726" w:rsidRDefault="00CD6726" w:rsidP="0032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726" w:rsidRDefault="00CD6726" w:rsidP="00326CE5">
      <w:pPr>
        <w:spacing w:after="0" w:line="240" w:lineRule="auto"/>
      </w:pPr>
      <w:r>
        <w:separator/>
      </w:r>
    </w:p>
  </w:footnote>
  <w:footnote w:type="continuationSeparator" w:id="1">
    <w:p w:rsidR="00CD6726" w:rsidRDefault="00CD6726" w:rsidP="0032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12" w:rsidRPr="008B0111" w:rsidRDefault="00787160">
    <w:pPr>
      <w:pStyle w:val="Encabezado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27B"/>
    <w:rsid w:val="0004592D"/>
    <w:rsid w:val="00053ED0"/>
    <w:rsid w:val="0006140B"/>
    <w:rsid w:val="00077252"/>
    <w:rsid w:val="000A4689"/>
    <w:rsid w:val="000A59E5"/>
    <w:rsid w:val="001109F5"/>
    <w:rsid w:val="001A5EE8"/>
    <w:rsid w:val="001C4A44"/>
    <w:rsid w:val="001D0843"/>
    <w:rsid w:val="001E589B"/>
    <w:rsid w:val="00205A2E"/>
    <w:rsid w:val="00220655"/>
    <w:rsid w:val="0023181F"/>
    <w:rsid w:val="0025529E"/>
    <w:rsid w:val="002D0C4C"/>
    <w:rsid w:val="002E0E22"/>
    <w:rsid w:val="002F0AA9"/>
    <w:rsid w:val="00326CE5"/>
    <w:rsid w:val="003635D6"/>
    <w:rsid w:val="003A667B"/>
    <w:rsid w:val="00433067"/>
    <w:rsid w:val="005246F8"/>
    <w:rsid w:val="005A3612"/>
    <w:rsid w:val="005D2C65"/>
    <w:rsid w:val="005D78FC"/>
    <w:rsid w:val="00614B16"/>
    <w:rsid w:val="0067792A"/>
    <w:rsid w:val="006950AA"/>
    <w:rsid w:val="006B55F1"/>
    <w:rsid w:val="006B7EAA"/>
    <w:rsid w:val="00787160"/>
    <w:rsid w:val="007B0B1B"/>
    <w:rsid w:val="007E0A7C"/>
    <w:rsid w:val="00864B03"/>
    <w:rsid w:val="008C505E"/>
    <w:rsid w:val="00902E2A"/>
    <w:rsid w:val="00966182"/>
    <w:rsid w:val="009A39F2"/>
    <w:rsid w:val="009A7451"/>
    <w:rsid w:val="009D71E7"/>
    <w:rsid w:val="00A42648"/>
    <w:rsid w:val="00A42E2C"/>
    <w:rsid w:val="00A5117D"/>
    <w:rsid w:val="00A72453"/>
    <w:rsid w:val="00AF3705"/>
    <w:rsid w:val="00B05DBD"/>
    <w:rsid w:val="00B24EB1"/>
    <w:rsid w:val="00B50EB5"/>
    <w:rsid w:val="00B5727B"/>
    <w:rsid w:val="00B66906"/>
    <w:rsid w:val="00BC0106"/>
    <w:rsid w:val="00BC02B4"/>
    <w:rsid w:val="00BD26CE"/>
    <w:rsid w:val="00BE0096"/>
    <w:rsid w:val="00BE2F39"/>
    <w:rsid w:val="00C04934"/>
    <w:rsid w:val="00C73748"/>
    <w:rsid w:val="00CD6726"/>
    <w:rsid w:val="00CE406B"/>
    <w:rsid w:val="00D11A08"/>
    <w:rsid w:val="00D47E4E"/>
    <w:rsid w:val="00D717F3"/>
    <w:rsid w:val="00D81ED5"/>
    <w:rsid w:val="00D825D1"/>
    <w:rsid w:val="00D978A8"/>
    <w:rsid w:val="00DA06DB"/>
    <w:rsid w:val="00DA5CB7"/>
    <w:rsid w:val="00E01302"/>
    <w:rsid w:val="00E15EFF"/>
    <w:rsid w:val="00E26C6B"/>
    <w:rsid w:val="00EB2EFE"/>
    <w:rsid w:val="00ED5E71"/>
    <w:rsid w:val="00F121C8"/>
    <w:rsid w:val="00F86F42"/>
    <w:rsid w:val="00FA16F8"/>
    <w:rsid w:val="00FE2D38"/>
    <w:rsid w:val="00FF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paragraph" w:styleId="Ttulo3">
    <w:name w:val="heading 3"/>
    <w:basedOn w:val="Normal"/>
    <w:next w:val="Textoindependiente"/>
    <w:link w:val="Ttulo3Car"/>
    <w:qFormat/>
    <w:rsid w:val="00787160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2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2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787160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8716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716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estilofiguras">
    <w:name w:val="estilo figuras"/>
    <w:basedOn w:val="Epgrafe"/>
    <w:link w:val="estilofigurasCar"/>
    <w:qFormat/>
    <w:rsid w:val="00787160"/>
    <w:pPr>
      <w:jc w:val="center"/>
    </w:pPr>
    <w:rPr>
      <w:rFonts w:eastAsia="Calibri" w:cstheme="minorHAnsi"/>
      <w:b w:val="0"/>
      <w:color w:val="auto"/>
      <w:sz w:val="20"/>
      <w:szCs w:val="20"/>
    </w:rPr>
  </w:style>
  <w:style w:type="character" w:customStyle="1" w:styleId="estilofigurasCar">
    <w:name w:val="estilo figuras Car"/>
    <w:basedOn w:val="Fuentedeprrafopredeter"/>
    <w:link w:val="estilofiguras"/>
    <w:rsid w:val="00787160"/>
    <w:rPr>
      <w:rFonts w:eastAsia="Calibri" w:cstheme="minorHAnsi"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71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7160"/>
  </w:style>
  <w:style w:type="paragraph" w:styleId="Epgrafe">
    <w:name w:val="caption"/>
    <w:basedOn w:val="Normal"/>
    <w:next w:val="Normal"/>
    <w:uiPriority w:val="35"/>
    <w:semiHidden/>
    <w:unhideWhenUsed/>
    <w:qFormat/>
    <w:rsid w:val="007871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alamoan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alamoan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alamoan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alamoan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Ala Moana - Observacion Visual / Wave Watch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Sheet1!$A$1:$A$64</c:f>
              <c:numCache>
                <c:formatCode>General</c:formatCode>
                <c:ptCount val="64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xVal>
          <c:yVal>
            <c:numRef>
              <c:f>Sheet1!$B$1:$B$64</c:f>
              <c:numCache>
                <c:formatCode>General</c:formatCode>
                <c:ptCount val="64"/>
                <c:pt idx="1">
                  <c:v>1.829</c:v>
                </c:pt>
                <c:pt idx="2">
                  <c:v>0.6100000000000001</c:v>
                </c:pt>
                <c:pt idx="3">
                  <c:v>1.829</c:v>
                </c:pt>
                <c:pt idx="4">
                  <c:v>1.829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3.6579999999999999</c:v>
                </c:pt>
                <c:pt idx="9">
                  <c:v>1.2189999999999999</c:v>
                </c:pt>
                <c:pt idx="10">
                  <c:v>1.2189999999999999</c:v>
                </c:pt>
                <c:pt idx="11">
                  <c:v>1.829</c:v>
                </c:pt>
                <c:pt idx="12">
                  <c:v>1.829</c:v>
                </c:pt>
                <c:pt idx="13">
                  <c:v>0.6100000000000001</c:v>
                </c:pt>
                <c:pt idx="14">
                  <c:v>1.829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1.2189999999999999</c:v>
                </c:pt>
                <c:pt idx="19">
                  <c:v>0.6100000000000001</c:v>
                </c:pt>
                <c:pt idx="20">
                  <c:v>1.2189999999999999</c:v>
                </c:pt>
                <c:pt idx="21">
                  <c:v>0.6100000000000001</c:v>
                </c:pt>
                <c:pt idx="22">
                  <c:v>3.048</c:v>
                </c:pt>
                <c:pt idx="23">
                  <c:v>1.829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1.829</c:v>
                </c:pt>
                <c:pt idx="27">
                  <c:v>1.2189999999999999</c:v>
                </c:pt>
                <c:pt idx="28">
                  <c:v>1.2189999999999999</c:v>
                </c:pt>
                <c:pt idx="29">
                  <c:v>0.6100000000000001</c:v>
                </c:pt>
                <c:pt idx="30">
                  <c:v>1.2189999999999999</c:v>
                </c:pt>
                <c:pt idx="31">
                  <c:v>1.829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0.6100000000000001</c:v>
                </c:pt>
                <c:pt idx="36">
                  <c:v>2.4379999999999997</c:v>
                </c:pt>
                <c:pt idx="37">
                  <c:v>0.6100000000000001</c:v>
                </c:pt>
                <c:pt idx="38">
                  <c:v>1.2189999999999999</c:v>
                </c:pt>
                <c:pt idx="39">
                  <c:v>1.829</c:v>
                </c:pt>
                <c:pt idx="40">
                  <c:v>1.829</c:v>
                </c:pt>
                <c:pt idx="41">
                  <c:v>0.6100000000000001</c:v>
                </c:pt>
                <c:pt idx="42">
                  <c:v>1.829</c:v>
                </c:pt>
                <c:pt idx="43">
                  <c:v>1.829</c:v>
                </c:pt>
                <c:pt idx="44">
                  <c:v>1.829</c:v>
                </c:pt>
                <c:pt idx="45">
                  <c:v>1.2189999999999999</c:v>
                </c:pt>
                <c:pt idx="46">
                  <c:v>1.829</c:v>
                </c:pt>
                <c:pt idx="47">
                  <c:v>1.829</c:v>
                </c:pt>
                <c:pt idx="48">
                  <c:v>1.829</c:v>
                </c:pt>
                <c:pt idx="49">
                  <c:v>2.4379999999999997</c:v>
                </c:pt>
                <c:pt idx="50">
                  <c:v>1.2189999999999999</c:v>
                </c:pt>
                <c:pt idx="51">
                  <c:v>0.6100000000000001</c:v>
                </c:pt>
                <c:pt idx="52">
                  <c:v>1.2189999999999999</c:v>
                </c:pt>
                <c:pt idx="53">
                  <c:v>1.2189999999999999</c:v>
                </c:pt>
                <c:pt idx="54">
                  <c:v>0.6100000000000001</c:v>
                </c:pt>
                <c:pt idx="55">
                  <c:v>1.2189999999999999</c:v>
                </c:pt>
                <c:pt idx="56">
                  <c:v>1.2189999999999999</c:v>
                </c:pt>
                <c:pt idx="57">
                  <c:v>1.829</c:v>
                </c:pt>
                <c:pt idx="58">
                  <c:v>1.829</c:v>
                </c:pt>
                <c:pt idx="59">
                  <c:v>1.829</c:v>
                </c:pt>
                <c:pt idx="60">
                  <c:v>1.2189999999999999</c:v>
                </c:pt>
                <c:pt idx="61">
                  <c:v>1.829</c:v>
                </c:pt>
                <c:pt idx="62">
                  <c:v>1.2189999999999999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numRef>
              <c:f>Sheet1!$A$1:$A$64</c:f>
              <c:numCache>
                <c:formatCode>General</c:formatCode>
                <c:ptCount val="64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xVal>
          <c:yVal>
            <c:numRef>
              <c:f>Sheet1!$E$1:$E$64</c:f>
              <c:numCache>
                <c:formatCode>General</c:formatCode>
                <c:ptCount val="64"/>
                <c:pt idx="1">
                  <c:v>1.8</c:v>
                </c:pt>
                <c:pt idx="2">
                  <c:v>3.2600000000000002</c:v>
                </c:pt>
                <c:pt idx="3">
                  <c:v>4.5</c:v>
                </c:pt>
                <c:pt idx="4">
                  <c:v>2.13</c:v>
                </c:pt>
                <c:pt idx="5">
                  <c:v>2.2200000000000002</c:v>
                </c:pt>
                <c:pt idx="6">
                  <c:v>1.61</c:v>
                </c:pt>
                <c:pt idx="7">
                  <c:v>1.87</c:v>
                </c:pt>
                <c:pt idx="8">
                  <c:v>1.9500000000000002</c:v>
                </c:pt>
                <c:pt idx="9">
                  <c:v>2.4899999999999998</c:v>
                </c:pt>
                <c:pt idx="10">
                  <c:v>1.6800000000000002</c:v>
                </c:pt>
                <c:pt idx="11">
                  <c:v>2.98</c:v>
                </c:pt>
                <c:pt idx="12">
                  <c:v>1.4</c:v>
                </c:pt>
                <c:pt idx="13">
                  <c:v>1.6400000000000001</c:v>
                </c:pt>
                <c:pt idx="14">
                  <c:v>2.2799999999999998</c:v>
                </c:pt>
                <c:pt idx="15">
                  <c:v>3.3099999999999996</c:v>
                </c:pt>
                <c:pt idx="16">
                  <c:v>1.9500000000000002</c:v>
                </c:pt>
                <c:pt idx="17">
                  <c:v>1.4</c:v>
                </c:pt>
                <c:pt idx="18">
                  <c:v>1.72</c:v>
                </c:pt>
                <c:pt idx="19">
                  <c:v>1.28</c:v>
                </c:pt>
                <c:pt idx="20">
                  <c:v>3.02</c:v>
                </c:pt>
                <c:pt idx="21">
                  <c:v>3.08</c:v>
                </c:pt>
                <c:pt idx="22">
                  <c:v>1.86</c:v>
                </c:pt>
                <c:pt idx="23">
                  <c:v>1.5</c:v>
                </c:pt>
                <c:pt idx="24">
                  <c:v>2.69</c:v>
                </c:pt>
                <c:pt idx="25">
                  <c:v>1.45</c:v>
                </c:pt>
                <c:pt idx="26">
                  <c:v>1.9900000000000002</c:v>
                </c:pt>
                <c:pt idx="27">
                  <c:v>3</c:v>
                </c:pt>
                <c:pt idx="28">
                  <c:v>2.1</c:v>
                </c:pt>
                <c:pt idx="29">
                  <c:v>2.52</c:v>
                </c:pt>
                <c:pt idx="30">
                  <c:v>2.12</c:v>
                </c:pt>
                <c:pt idx="31">
                  <c:v>1.47</c:v>
                </c:pt>
                <c:pt idx="32">
                  <c:v>5.53</c:v>
                </c:pt>
                <c:pt idx="33">
                  <c:v>2.82</c:v>
                </c:pt>
                <c:pt idx="34">
                  <c:v>3.13</c:v>
                </c:pt>
                <c:pt idx="35">
                  <c:v>2.56</c:v>
                </c:pt>
                <c:pt idx="36">
                  <c:v>2.11</c:v>
                </c:pt>
                <c:pt idx="37">
                  <c:v>2.25</c:v>
                </c:pt>
                <c:pt idx="38">
                  <c:v>1.73</c:v>
                </c:pt>
                <c:pt idx="39">
                  <c:v>2.04</c:v>
                </c:pt>
                <c:pt idx="40">
                  <c:v>1.9600000000000002</c:v>
                </c:pt>
                <c:pt idx="41">
                  <c:v>3.09</c:v>
                </c:pt>
                <c:pt idx="42">
                  <c:v>1.76</c:v>
                </c:pt>
                <c:pt idx="43">
                  <c:v>2.0099999999999998</c:v>
                </c:pt>
                <c:pt idx="44">
                  <c:v>1.54</c:v>
                </c:pt>
                <c:pt idx="45">
                  <c:v>1.9000000000000001</c:v>
                </c:pt>
                <c:pt idx="46">
                  <c:v>4.24</c:v>
                </c:pt>
                <c:pt idx="47">
                  <c:v>1.56</c:v>
                </c:pt>
                <c:pt idx="48">
                  <c:v>1.8800000000000001</c:v>
                </c:pt>
                <c:pt idx="49">
                  <c:v>5.63</c:v>
                </c:pt>
                <c:pt idx="50">
                  <c:v>2.27</c:v>
                </c:pt>
                <c:pt idx="51">
                  <c:v>3.16</c:v>
                </c:pt>
                <c:pt idx="52">
                  <c:v>4.5999999999999996</c:v>
                </c:pt>
                <c:pt idx="53">
                  <c:v>1.6500000000000001</c:v>
                </c:pt>
                <c:pt idx="54">
                  <c:v>2.3699999999999997</c:v>
                </c:pt>
                <c:pt idx="55">
                  <c:v>1.8</c:v>
                </c:pt>
                <c:pt idx="56">
                  <c:v>2.82</c:v>
                </c:pt>
                <c:pt idx="57">
                  <c:v>2</c:v>
                </c:pt>
                <c:pt idx="58">
                  <c:v>5.48</c:v>
                </c:pt>
                <c:pt idx="59">
                  <c:v>3.57</c:v>
                </c:pt>
                <c:pt idx="60">
                  <c:v>2.56</c:v>
                </c:pt>
                <c:pt idx="61">
                  <c:v>2.4</c:v>
                </c:pt>
                <c:pt idx="62">
                  <c:v>1.82</c:v>
                </c:pt>
                <c:pt idx="63">
                  <c:v>3.06</c:v>
                </c:pt>
              </c:numCache>
            </c:numRef>
          </c:yVal>
        </c:ser>
        <c:axId val="53361664"/>
        <c:axId val="53390720"/>
      </c:scatterChart>
      <c:valAx>
        <c:axId val="53361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3390720"/>
        <c:crosses val="autoZero"/>
        <c:crossBetween val="midCat"/>
        <c:majorUnit val="5"/>
      </c:valAx>
      <c:valAx>
        <c:axId val="533907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52E-3"/>
              <c:y val="0.29042414159710989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33616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45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Ala Moana - Observacion Visual / Máquina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42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Sheet1!$A$1:$A$64</c:f>
              <c:numCache>
                <c:formatCode>General</c:formatCode>
                <c:ptCount val="64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xVal>
          <c:yVal>
            <c:numRef>
              <c:f>Sheet1!$B$1:$B$64</c:f>
              <c:numCache>
                <c:formatCode>General</c:formatCode>
                <c:ptCount val="64"/>
                <c:pt idx="1">
                  <c:v>1.829</c:v>
                </c:pt>
                <c:pt idx="2">
                  <c:v>0.6100000000000001</c:v>
                </c:pt>
                <c:pt idx="3">
                  <c:v>1.829</c:v>
                </c:pt>
                <c:pt idx="4">
                  <c:v>1.829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3.6579999999999999</c:v>
                </c:pt>
                <c:pt idx="9">
                  <c:v>1.2189999999999999</c:v>
                </c:pt>
                <c:pt idx="10">
                  <c:v>1.2189999999999999</c:v>
                </c:pt>
                <c:pt idx="11">
                  <c:v>1.829</c:v>
                </c:pt>
                <c:pt idx="12">
                  <c:v>1.829</c:v>
                </c:pt>
                <c:pt idx="13">
                  <c:v>0.6100000000000001</c:v>
                </c:pt>
                <c:pt idx="14">
                  <c:v>1.829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1.2189999999999999</c:v>
                </c:pt>
                <c:pt idx="19">
                  <c:v>0.6100000000000001</c:v>
                </c:pt>
                <c:pt idx="20">
                  <c:v>1.2189999999999999</c:v>
                </c:pt>
                <c:pt idx="21">
                  <c:v>0.6100000000000001</c:v>
                </c:pt>
                <c:pt idx="22">
                  <c:v>3.048</c:v>
                </c:pt>
                <c:pt idx="23">
                  <c:v>1.829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1.829</c:v>
                </c:pt>
                <c:pt idx="27">
                  <c:v>1.2189999999999999</c:v>
                </c:pt>
                <c:pt idx="28">
                  <c:v>1.2189999999999999</c:v>
                </c:pt>
                <c:pt idx="29">
                  <c:v>0.6100000000000001</c:v>
                </c:pt>
                <c:pt idx="30">
                  <c:v>1.2189999999999999</c:v>
                </c:pt>
                <c:pt idx="31">
                  <c:v>1.829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0.6100000000000001</c:v>
                </c:pt>
                <c:pt idx="36">
                  <c:v>2.4379999999999997</c:v>
                </c:pt>
                <c:pt idx="37">
                  <c:v>0.6100000000000001</c:v>
                </c:pt>
                <c:pt idx="38">
                  <c:v>1.2189999999999999</c:v>
                </c:pt>
                <c:pt idx="39">
                  <c:v>1.829</c:v>
                </c:pt>
                <c:pt idx="40">
                  <c:v>1.829</c:v>
                </c:pt>
                <c:pt idx="41">
                  <c:v>0.6100000000000001</c:v>
                </c:pt>
                <c:pt idx="42">
                  <c:v>1.829</c:v>
                </c:pt>
                <c:pt idx="43">
                  <c:v>1.829</c:v>
                </c:pt>
                <c:pt idx="44">
                  <c:v>1.829</c:v>
                </c:pt>
                <c:pt idx="45">
                  <c:v>1.2189999999999999</c:v>
                </c:pt>
                <c:pt idx="46">
                  <c:v>1.829</c:v>
                </c:pt>
                <c:pt idx="47">
                  <c:v>1.829</c:v>
                </c:pt>
                <c:pt idx="48">
                  <c:v>1.829</c:v>
                </c:pt>
                <c:pt idx="49">
                  <c:v>2.4379999999999997</c:v>
                </c:pt>
                <c:pt idx="50">
                  <c:v>1.2189999999999999</c:v>
                </c:pt>
                <c:pt idx="51">
                  <c:v>0.6100000000000001</c:v>
                </c:pt>
                <c:pt idx="52">
                  <c:v>1.2189999999999999</c:v>
                </c:pt>
                <c:pt idx="53">
                  <c:v>1.2189999999999999</c:v>
                </c:pt>
                <c:pt idx="54">
                  <c:v>0.6100000000000001</c:v>
                </c:pt>
                <c:pt idx="55">
                  <c:v>1.2189999999999999</c:v>
                </c:pt>
                <c:pt idx="56">
                  <c:v>1.2189999999999999</c:v>
                </c:pt>
                <c:pt idx="57">
                  <c:v>1.829</c:v>
                </c:pt>
                <c:pt idx="58">
                  <c:v>1.829</c:v>
                </c:pt>
                <c:pt idx="59">
                  <c:v>1.829</c:v>
                </c:pt>
                <c:pt idx="60">
                  <c:v>1.2189999999999999</c:v>
                </c:pt>
                <c:pt idx="61">
                  <c:v>1.829</c:v>
                </c:pt>
                <c:pt idx="62">
                  <c:v>1.2189999999999999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numRef>
              <c:f>Sheet1!$A$1:$A$64</c:f>
              <c:numCache>
                <c:formatCode>General</c:formatCode>
                <c:ptCount val="64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xVal>
          <c:yVal>
            <c:numRef>
              <c:f>Sheet1!$C$1:$C$64</c:f>
              <c:numCache>
                <c:formatCode>General</c:formatCode>
                <c:ptCount val="64"/>
                <c:pt idx="1">
                  <c:v>1.2729999999999997</c:v>
                </c:pt>
                <c:pt idx="2">
                  <c:v>1.07</c:v>
                </c:pt>
                <c:pt idx="3">
                  <c:v>1.657</c:v>
                </c:pt>
                <c:pt idx="4">
                  <c:v>1.179</c:v>
                </c:pt>
                <c:pt idx="5">
                  <c:v>1.1950000000000001</c:v>
                </c:pt>
                <c:pt idx="6">
                  <c:v>1.2809999999999997</c:v>
                </c:pt>
                <c:pt idx="7">
                  <c:v>1.29</c:v>
                </c:pt>
                <c:pt idx="8">
                  <c:v>1.2409999999999999</c:v>
                </c:pt>
                <c:pt idx="9">
                  <c:v>1.2149999999999999</c:v>
                </c:pt>
                <c:pt idx="10">
                  <c:v>1.294</c:v>
                </c:pt>
                <c:pt idx="11">
                  <c:v>1.32</c:v>
                </c:pt>
                <c:pt idx="12">
                  <c:v>2.3099999999999996</c:v>
                </c:pt>
                <c:pt idx="13">
                  <c:v>1.2669999999999997</c:v>
                </c:pt>
                <c:pt idx="14">
                  <c:v>1.1700000000000002</c:v>
                </c:pt>
                <c:pt idx="15">
                  <c:v>1.1559999999999997</c:v>
                </c:pt>
                <c:pt idx="16">
                  <c:v>1.2749999999999997</c:v>
                </c:pt>
                <c:pt idx="17">
                  <c:v>1.7949999999999997</c:v>
                </c:pt>
                <c:pt idx="18">
                  <c:v>1.26</c:v>
                </c:pt>
                <c:pt idx="19">
                  <c:v>1.3169999999999997</c:v>
                </c:pt>
                <c:pt idx="20">
                  <c:v>1.056</c:v>
                </c:pt>
                <c:pt idx="21">
                  <c:v>1.181</c:v>
                </c:pt>
                <c:pt idx="22">
                  <c:v>2.5189999999999997</c:v>
                </c:pt>
                <c:pt idx="23">
                  <c:v>1.2929999999999997</c:v>
                </c:pt>
                <c:pt idx="24">
                  <c:v>1.2489999999999999</c:v>
                </c:pt>
                <c:pt idx="25">
                  <c:v>1.371</c:v>
                </c:pt>
                <c:pt idx="26">
                  <c:v>1.2709999999999997</c:v>
                </c:pt>
                <c:pt idx="27">
                  <c:v>1.224</c:v>
                </c:pt>
                <c:pt idx="28">
                  <c:v>1.246</c:v>
                </c:pt>
                <c:pt idx="29">
                  <c:v>1.1080000000000001</c:v>
                </c:pt>
                <c:pt idx="30">
                  <c:v>1.2529999999999997</c:v>
                </c:pt>
                <c:pt idx="31">
                  <c:v>1.7589999999999997</c:v>
                </c:pt>
                <c:pt idx="32">
                  <c:v>1.9770000000000001</c:v>
                </c:pt>
                <c:pt idx="33">
                  <c:v>0.89800000000000002</c:v>
                </c:pt>
                <c:pt idx="34">
                  <c:v>1.1759999999999997</c:v>
                </c:pt>
                <c:pt idx="35">
                  <c:v>1.2649999999999997</c:v>
                </c:pt>
                <c:pt idx="36">
                  <c:v>1.9410000000000001</c:v>
                </c:pt>
                <c:pt idx="37">
                  <c:v>1.0900000000000001</c:v>
                </c:pt>
                <c:pt idx="38">
                  <c:v>1.3049999999999997</c:v>
                </c:pt>
                <c:pt idx="39">
                  <c:v>1.21</c:v>
                </c:pt>
                <c:pt idx="40">
                  <c:v>1.3540000000000001</c:v>
                </c:pt>
                <c:pt idx="41">
                  <c:v>1.284</c:v>
                </c:pt>
                <c:pt idx="42">
                  <c:v>1.282</c:v>
                </c:pt>
                <c:pt idx="43">
                  <c:v>1.671</c:v>
                </c:pt>
                <c:pt idx="44">
                  <c:v>1.2389999999999999</c:v>
                </c:pt>
                <c:pt idx="45">
                  <c:v>1.345</c:v>
                </c:pt>
                <c:pt idx="46">
                  <c:v>1.2929999999999997</c:v>
                </c:pt>
                <c:pt idx="47">
                  <c:v>1.353</c:v>
                </c:pt>
                <c:pt idx="48">
                  <c:v>1.0980000000000001</c:v>
                </c:pt>
                <c:pt idx="49">
                  <c:v>2.16</c:v>
                </c:pt>
                <c:pt idx="50">
                  <c:v>1.5129999999999997</c:v>
                </c:pt>
                <c:pt idx="51">
                  <c:v>1.06</c:v>
                </c:pt>
                <c:pt idx="52">
                  <c:v>1.87</c:v>
                </c:pt>
                <c:pt idx="53">
                  <c:v>1.363</c:v>
                </c:pt>
                <c:pt idx="54">
                  <c:v>1.383</c:v>
                </c:pt>
                <c:pt idx="55">
                  <c:v>1.26</c:v>
                </c:pt>
                <c:pt idx="56">
                  <c:v>1.327</c:v>
                </c:pt>
                <c:pt idx="57">
                  <c:v>1.3440000000000001</c:v>
                </c:pt>
                <c:pt idx="58">
                  <c:v>1.7989999999999997</c:v>
                </c:pt>
                <c:pt idx="59">
                  <c:v>1.224</c:v>
                </c:pt>
                <c:pt idx="60">
                  <c:v>1.1900000000000002</c:v>
                </c:pt>
                <c:pt idx="61">
                  <c:v>1.9319999999999997</c:v>
                </c:pt>
                <c:pt idx="62">
                  <c:v>1.331</c:v>
                </c:pt>
                <c:pt idx="63">
                  <c:v>0.8600000000000001</c:v>
                </c:pt>
              </c:numCache>
            </c:numRef>
          </c:yVal>
        </c:ser>
        <c:axId val="53588352"/>
        <c:axId val="53590656"/>
      </c:scatterChart>
      <c:valAx>
        <c:axId val="5358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</a:t>
                </a:r>
                <a:r>
                  <a:rPr lang="es-AR" sz="1000" b="1" i="0" u="none" strike="noStrike" baseline="0"/>
                  <a:t> de observación</a:t>
                </a:r>
                <a:endParaRPr lang="es-AR"/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3590656"/>
        <c:crosses val="autoZero"/>
        <c:crossBetween val="midCat"/>
        <c:majorUnit val="5"/>
      </c:valAx>
      <c:valAx>
        <c:axId val="535906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3E-3"/>
              <c:y val="0.29042414159710978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35883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1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13E-2"/>
          <c:w val="0.87042860499284569"/>
          <c:h val="0.75935138208448216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1.8</c:v>
                </c:pt>
                <c:pt idx="1">
                  <c:v>3.2600000000000002</c:v>
                </c:pt>
                <c:pt idx="2">
                  <c:v>4.5</c:v>
                </c:pt>
                <c:pt idx="3">
                  <c:v>2.13</c:v>
                </c:pt>
                <c:pt idx="4">
                  <c:v>2.2200000000000002</c:v>
                </c:pt>
                <c:pt idx="5">
                  <c:v>1.61</c:v>
                </c:pt>
                <c:pt idx="6">
                  <c:v>1.87</c:v>
                </c:pt>
                <c:pt idx="7">
                  <c:v>1.9500000000000002</c:v>
                </c:pt>
                <c:pt idx="8">
                  <c:v>2.4899999999999998</c:v>
                </c:pt>
                <c:pt idx="9">
                  <c:v>1.6800000000000002</c:v>
                </c:pt>
                <c:pt idx="10">
                  <c:v>2.98</c:v>
                </c:pt>
                <c:pt idx="11">
                  <c:v>1.4</c:v>
                </c:pt>
                <c:pt idx="12">
                  <c:v>1.6400000000000001</c:v>
                </c:pt>
                <c:pt idx="13">
                  <c:v>2.2799999999999998</c:v>
                </c:pt>
                <c:pt idx="14">
                  <c:v>3.3099999999999996</c:v>
                </c:pt>
                <c:pt idx="15">
                  <c:v>1.9500000000000002</c:v>
                </c:pt>
                <c:pt idx="16">
                  <c:v>1.4</c:v>
                </c:pt>
                <c:pt idx="17">
                  <c:v>1.72</c:v>
                </c:pt>
                <c:pt idx="18">
                  <c:v>1.28</c:v>
                </c:pt>
                <c:pt idx="19">
                  <c:v>3.02</c:v>
                </c:pt>
                <c:pt idx="20">
                  <c:v>3.08</c:v>
                </c:pt>
                <c:pt idx="21">
                  <c:v>1.86</c:v>
                </c:pt>
                <c:pt idx="22">
                  <c:v>1.5</c:v>
                </c:pt>
                <c:pt idx="23">
                  <c:v>2.69</c:v>
                </c:pt>
                <c:pt idx="24">
                  <c:v>1.45</c:v>
                </c:pt>
                <c:pt idx="25">
                  <c:v>1.9900000000000002</c:v>
                </c:pt>
                <c:pt idx="26">
                  <c:v>3</c:v>
                </c:pt>
                <c:pt idx="27">
                  <c:v>2.1</c:v>
                </c:pt>
                <c:pt idx="28">
                  <c:v>2.52</c:v>
                </c:pt>
                <c:pt idx="29">
                  <c:v>2.12</c:v>
                </c:pt>
                <c:pt idx="30">
                  <c:v>1.47</c:v>
                </c:pt>
                <c:pt idx="31">
                  <c:v>5.53</c:v>
                </c:pt>
                <c:pt idx="32">
                  <c:v>2.82</c:v>
                </c:pt>
                <c:pt idx="33">
                  <c:v>3.13</c:v>
                </c:pt>
                <c:pt idx="34">
                  <c:v>2.56</c:v>
                </c:pt>
                <c:pt idx="35">
                  <c:v>2.11</c:v>
                </c:pt>
                <c:pt idx="36">
                  <c:v>2.25</c:v>
                </c:pt>
                <c:pt idx="37">
                  <c:v>1.73</c:v>
                </c:pt>
                <c:pt idx="38">
                  <c:v>2.04</c:v>
                </c:pt>
                <c:pt idx="39">
                  <c:v>1.9600000000000002</c:v>
                </c:pt>
                <c:pt idx="40">
                  <c:v>3.09</c:v>
                </c:pt>
                <c:pt idx="41">
                  <c:v>1.76</c:v>
                </c:pt>
                <c:pt idx="42">
                  <c:v>2.0099999999999998</c:v>
                </c:pt>
                <c:pt idx="43">
                  <c:v>1.54</c:v>
                </c:pt>
                <c:pt idx="44">
                  <c:v>1.9000000000000001</c:v>
                </c:pt>
                <c:pt idx="45">
                  <c:v>4.24</c:v>
                </c:pt>
                <c:pt idx="46">
                  <c:v>1.56</c:v>
                </c:pt>
                <c:pt idx="47">
                  <c:v>1.8800000000000001</c:v>
                </c:pt>
                <c:pt idx="48">
                  <c:v>5.63</c:v>
                </c:pt>
                <c:pt idx="49">
                  <c:v>2.27</c:v>
                </c:pt>
                <c:pt idx="50">
                  <c:v>3.16</c:v>
                </c:pt>
                <c:pt idx="51">
                  <c:v>4.5999999999999996</c:v>
                </c:pt>
                <c:pt idx="52">
                  <c:v>1.6500000000000001</c:v>
                </c:pt>
                <c:pt idx="53">
                  <c:v>2.3699999999999997</c:v>
                </c:pt>
                <c:pt idx="54">
                  <c:v>1.8</c:v>
                </c:pt>
                <c:pt idx="55">
                  <c:v>2.82</c:v>
                </c:pt>
                <c:pt idx="56">
                  <c:v>2</c:v>
                </c:pt>
                <c:pt idx="57">
                  <c:v>5.48</c:v>
                </c:pt>
                <c:pt idx="58">
                  <c:v>3.57</c:v>
                </c:pt>
                <c:pt idx="59">
                  <c:v>2.56</c:v>
                </c:pt>
                <c:pt idx="60">
                  <c:v>2.4</c:v>
                </c:pt>
                <c:pt idx="61">
                  <c:v>1.82</c:v>
                </c:pt>
                <c:pt idx="62">
                  <c:v>3.06</c:v>
                </c:pt>
                <c:pt idx="63">
                  <c:v>2.0099999999999998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0.6100000000000001</c:v>
                </c:pt>
                <c:pt idx="2">
                  <c:v>1.829</c:v>
                </c:pt>
                <c:pt idx="3">
                  <c:v>1.829</c:v>
                </c:pt>
                <c:pt idx="4">
                  <c:v>1.2189999999999999</c:v>
                </c:pt>
                <c:pt idx="5">
                  <c:v>1.829</c:v>
                </c:pt>
                <c:pt idx="6">
                  <c:v>1.829</c:v>
                </c:pt>
                <c:pt idx="7">
                  <c:v>3.6579999999999999</c:v>
                </c:pt>
                <c:pt idx="8">
                  <c:v>1.2189999999999999</c:v>
                </c:pt>
                <c:pt idx="9">
                  <c:v>1.2189999999999999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0.6100000000000001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0.6100000000000001</c:v>
                </c:pt>
                <c:pt idx="19">
                  <c:v>1.2189999999999999</c:v>
                </c:pt>
                <c:pt idx="20">
                  <c:v>0.6100000000000001</c:v>
                </c:pt>
                <c:pt idx="21">
                  <c:v>3.048</c:v>
                </c:pt>
                <c:pt idx="22">
                  <c:v>1.829</c:v>
                </c:pt>
                <c:pt idx="23">
                  <c:v>0.6100000000000001</c:v>
                </c:pt>
                <c:pt idx="24">
                  <c:v>1.2189999999999999</c:v>
                </c:pt>
                <c:pt idx="25">
                  <c:v>1.829</c:v>
                </c:pt>
                <c:pt idx="26">
                  <c:v>1.2189999999999999</c:v>
                </c:pt>
                <c:pt idx="27">
                  <c:v>1.2189999999999999</c:v>
                </c:pt>
                <c:pt idx="28">
                  <c:v>0.6100000000000001</c:v>
                </c:pt>
                <c:pt idx="29">
                  <c:v>1.2189999999999999</c:v>
                </c:pt>
                <c:pt idx="30">
                  <c:v>1.829</c:v>
                </c:pt>
                <c:pt idx="31">
                  <c:v>1.829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0.6100000000000001</c:v>
                </c:pt>
                <c:pt idx="35">
                  <c:v>2.4379999999999997</c:v>
                </c:pt>
                <c:pt idx="36">
                  <c:v>0.6100000000000001</c:v>
                </c:pt>
                <c:pt idx="37">
                  <c:v>1.2189999999999999</c:v>
                </c:pt>
                <c:pt idx="38">
                  <c:v>1.829</c:v>
                </c:pt>
                <c:pt idx="39">
                  <c:v>1.829</c:v>
                </c:pt>
                <c:pt idx="40">
                  <c:v>0.6100000000000001</c:v>
                </c:pt>
                <c:pt idx="41">
                  <c:v>1.829</c:v>
                </c:pt>
                <c:pt idx="42">
                  <c:v>1.829</c:v>
                </c:pt>
                <c:pt idx="43">
                  <c:v>1.829</c:v>
                </c:pt>
                <c:pt idx="44">
                  <c:v>1.2189999999999999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2.4379999999999997</c:v>
                </c:pt>
                <c:pt idx="49">
                  <c:v>1.2189999999999999</c:v>
                </c:pt>
                <c:pt idx="50">
                  <c:v>0.6100000000000001</c:v>
                </c:pt>
                <c:pt idx="51">
                  <c:v>1.2189999999999999</c:v>
                </c:pt>
                <c:pt idx="52">
                  <c:v>1.2189999999999999</c:v>
                </c:pt>
                <c:pt idx="53">
                  <c:v>0.6100000000000001</c:v>
                </c:pt>
                <c:pt idx="54">
                  <c:v>1.2189999999999999</c:v>
                </c:pt>
                <c:pt idx="55">
                  <c:v>1.2189999999999999</c:v>
                </c:pt>
                <c:pt idx="56">
                  <c:v>1.829</c:v>
                </c:pt>
                <c:pt idx="57">
                  <c:v>1.829</c:v>
                </c:pt>
                <c:pt idx="58">
                  <c:v>1.829</c:v>
                </c:pt>
                <c:pt idx="59">
                  <c:v>1.2189999999999999</c:v>
                </c:pt>
                <c:pt idx="60">
                  <c:v>1.829</c:v>
                </c:pt>
                <c:pt idx="61">
                  <c:v>1.2189999999999999</c:v>
                </c:pt>
                <c:pt idx="62">
                  <c:v>0.6100000000000001</c:v>
                </c:pt>
                <c:pt idx="63">
                  <c:v>1.2189999999999999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53671424"/>
        <c:axId val="53768192"/>
      </c:scatterChart>
      <c:valAx>
        <c:axId val="5367142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3768192"/>
        <c:crosses val="autoZero"/>
        <c:crossBetween val="midCat"/>
        <c:majorUnit val="2"/>
      </c:valAx>
      <c:valAx>
        <c:axId val="537681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3671424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1E-2"/>
          <c:w val="0.87042860499284569"/>
          <c:h val="0.75935138208448194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1.2729999999999997</c:v>
                </c:pt>
                <c:pt idx="1">
                  <c:v>1.07</c:v>
                </c:pt>
                <c:pt idx="2">
                  <c:v>1.657</c:v>
                </c:pt>
                <c:pt idx="3">
                  <c:v>1.179</c:v>
                </c:pt>
                <c:pt idx="4">
                  <c:v>1.1950000000000001</c:v>
                </c:pt>
                <c:pt idx="5">
                  <c:v>1.2809999999999997</c:v>
                </c:pt>
                <c:pt idx="6">
                  <c:v>1.29</c:v>
                </c:pt>
                <c:pt idx="7">
                  <c:v>1.2409999999999999</c:v>
                </c:pt>
                <c:pt idx="8">
                  <c:v>1.2149999999999999</c:v>
                </c:pt>
                <c:pt idx="9">
                  <c:v>1.294</c:v>
                </c:pt>
                <c:pt idx="10">
                  <c:v>1.32</c:v>
                </c:pt>
                <c:pt idx="11">
                  <c:v>2.3099999999999996</c:v>
                </c:pt>
                <c:pt idx="12">
                  <c:v>1.2669999999999997</c:v>
                </c:pt>
                <c:pt idx="13">
                  <c:v>1.1700000000000002</c:v>
                </c:pt>
                <c:pt idx="14">
                  <c:v>1.1559999999999997</c:v>
                </c:pt>
                <c:pt idx="15">
                  <c:v>1.2749999999999997</c:v>
                </c:pt>
                <c:pt idx="16">
                  <c:v>1.7949999999999997</c:v>
                </c:pt>
                <c:pt idx="17">
                  <c:v>1.26</c:v>
                </c:pt>
                <c:pt idx="18">
                  <c:v>1.3169999999999997</c:v>
                </c:pt>
                <c:pt idx="19">
                  <c:v>1.056</c:v>
                </c:pt>
                <c:pt idx="20">
                  <c:v>1.181</c:v>
                </c:pt>
                <c:pt idx="21">
                  <c:v>2.5189999999999997</c:v>
                </c:pt>
                <c:pt idx="22">
                  <c:v>1.2929999999999997</c:v>
                </c:pt>
                <c:pt idx="23">
                  <c:v>1.2489999999999999</c:v>
                </c:pt>
                <c:pt idx="24">
                  <c:v>1.371</c:v>
                </c:pt>
                <c:pt idx="25">
                  <c:v>1.2709999999999997</c:v>
                </c:pt>
                <c:pt idx="26">
                  <c:v>1.224</c:v>
                </c:pt>
                <c:pt idx="27">
                  <c:v>1.246</c:v>
                </c:pt>
                <c:pt idx="28">
                  <c:v>1.1080000000000001</c:v>
                </c:pt>
                <c:pt idx="29">
                  <c:v>1.2529999999999997</c:v>
                </c:pt>
                <c:pt idx="30">
                  <c:v>1.7589999999999997</c:v>
                </c:pt>
                <c:pt idx="31">
                  <c:v>1.9770000000000001</c:v>
                </c:pt>
                <c:pt idx="32">
                  <c:v>0.89800000000000002</c:v>
                </c:pt>
                <c:pt idx="33">
                  <c:v>1.1759999999999997</c:v>
                </c:pt>
                <c:pt idx="34">
                  <c:v>1.2649999999999997</c:v>
                </c:pt>
                <c:pt idx="35">
                  <c:v>1.9410000000000001</c:v>
                </c:pt>
                <c:pt idx="36">
                  <c:v>1.0900000000000001</c:v>
                </c:pt>
                <c:pt idx="37">
                  <c:v>1.3049999999999997</c:v>
                </c:pt>
                <c:pt idx="38">
                  <c:v>1.21</c:v>
                </c:pt>
                <c:pt idx="39">
                  <c:v>1.3540000000000001</c:v>
                </c:pt>
                <c:pt idx="40">
                  <c:v>1.284</c:v>
                </c:pt>
                <c:pt idx="41">
                  <c:v>1.282</c:v>
                </c:pt>
                <c:pt idx="42">
                  <c:v>1.671</c:v>
                </c:pt>
                <c:pt idx="43">
                  <c:v>1.2389999999999999</c:v>
                </c:pt>
                <c:pt idx="44">
                  <c:v>1.345</c:v>
                </c:pt>
                <c:pt idx="45">
                  <c:v>1.2929999999999997</c:v>
                </c:pt>
                <c:pt idx="46">
                  <c:v>1.353</c:v>
                </c:pt>
                <c:pt idx="47">
                  <c:v>1.0980000000000001</c:v>
                </c:pt>
                <c:pt idx="48">
                  <c:v>2.16</c:v>
                </c:pt>
                <c:pt idx="49">
                  <c:v>1.5129999999999997</c:v>
                </c:pt>
                <c:pt idx="50">
                  <c:v>1.06</c:v>
                </c:pt>
                <c:pt idx="51">
                  <c:v>1.87</c:v>
                </c:pt>
                <c:pt idx="52">
                  <c:v>1.363</c:v>
                </c:pt>
                <c:pt idx="53">
                  <c:v>1.383</c:v>
                </c:pt>
                <c:pt idx="54">
                  <c:v>1.26</c:v>
                </c:pt>
                <c:pt idx="55">
                  <c:v>1.327</c:v>
                </c:pt>
                <c:pt idx="56">
                  <c:v>1.3440000000000001</c:v>
                </c:pt>
                <c:pt idx="57">
                  <c:v>1.7989999999999997</c:v>
                </c:pt>
                <c:pt idx="58">
                  <c:v>1.224</c:v>
                </c:pt>
                <c:pt idx="59">
                  <c:v>1.1900000000000002</c:v>
                </c:pt>
                <c:pt idx="60">
                  <c:v>1.9319999999999997</c:v>
                </c:pt>
                <c:pt idx="61">
                  <c:v>1.331</c:v>
                </c:pt>
                <c:pt idx="62">
                  <c:v>0.8600000000000001</c:v>
                </c:pt>
                <c:pt idx="63">
                  <c:v>1.2769999999999997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0.6100000000000001</c:v>
                </c:pt>
                <c:pt idx="2">
                  <c:v>1.829</c:v>
                </c:pt>
                <c:pt idx="3">
                  <c:v>1.829</c:v>
                </c:pt>
                <c:pt idx="4">
                  <c:v>1.2189999999999999</c:v>
                </c:pt>
                <c:pt idx="5">
                  <c:v>1.829</c:v>
                </c:pt>
                <c:pt idx="6">
                  <c:v>1.829</c:v>
                </c:pt>
                <c:pt idx="7">
                  <c:v>3.6579999999999999</c:v>
                </c:pt>
                <c:pt idx="8">
                  <c:v>1.2189999999999999</c:v>
                </c:pt>
                <c:pt idx="9">
                  <c:v>1.2189999999999999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0.6100000000000001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0.6100000000000001</c:v>
                </c:pt>
                <c:pt idx="19">
                  <c:v>1.2189999999999999</c:v>
                </c:pt>
                <c:pt idx="20">
                  <c:v>0.6100000000000001</c:v>
                </c:pt>
                <c:pt idx="21">
                  <c:v>3.048</c:v>
                </c:pt>
                <c:pt idx="22">
                  <c:v>1.829</c:v>
                </c:pt>
                <c:pt idx="23">
                  <c:v>0.6100000000000001</c:v>
                </c:pt>
                <c:pt idx="24">
                  <c:v>1.2189999999999999</c:v>
                </c:pt>
                <c:pt idx="25">
                  <c:v>1.829</c:v>
                </c:pt>
                <c:pt idx="26">
                  <c:v>1.2189999999999999</c:v>
                </c:pt>
                <c:pt idx="27">
                  <c:v>1.2189999999999999</c:v>
                </c:pt>
                <c:pt idx="28">
                  <c:v>0.6100000000000001</c:v>
                </c:pt>
                <c:pt idx="29">
                  <c:v>1.2189999999999999</c:v>
                </c:pt>
                <c:pt idx="30">
                  <c:v>1.829</c:v>
                </c:pt>
                <c:pt idx="31">
                  <c:v>1.829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0.6100000000000001</c:v>
                </c:pt>
                <c:pt idx="35">
                  <c:v>2.4379999999999997</c:v>
                </c:pt>
                <c:pt idx="36">
                  <c:v>0.6100000000000001</c:v>
                </c:pt>
                <c:pt idx="37">
                  <c:v>1.2189999999999999</c:v>
                </c:pt>
                <c:pt idx="38">
                  <c:v>1.829</c:v>
                </c:pt>
                <c:pt idx="39">
                  <c:v>1.829</c:v>
                </c:pt>
                <c:pt idx="40">
                  <c:v>0.6100000000000001</c:v>
                </c:pt>
                <c:pt idx="41">
                  <c:v>1.829</c:v>
                </c:pt>
                <c:pt idx="42">
                  <c:v>1.829</c:v>
                </c:pt>
                <c:pt idx="43">
                  <c:v>1.829</c:v>
                </c:pt>
                <c:pt idx="44">
                  <c:v>1.2189999999999999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2.4379999999999997</c:v>
                </c:pt>
                <c:pt idx="49">
                  <c:v>1.2189999999999999</c:v>
                </c:pt>
                <c:pt idx="50">
                  <c:v>0.6100000000000001</c:v>
                </c:pt>
                <c:pt idx="51">
                  <c:v>1.2189999999999999</c:v>
                </c:pt>
                <c:pt idx="52">
                  <c:v>1.2189999999999999</c:v>
                </c:pt>
                <c:pt idx="53">
                  <c:v>0.6100000000000001</c:v>
                </c:pt>
                <c:pt idx="54">
                  <c:v>1.2189999999999999</c:v>
                </c:pt>
                <c:pt idx="55">
                  <c:v>1.2189999999999999</c:v>
                </c:pt>
                <c:pt idx="56">
                  <c:v>1.829</c:v>
                </c:pt>
                <c:pt idx="57">
                  <c:v>1.829</c:v>
                </c:pt>
                <c:pt idx="58">
                  <c:v>1.829</c:v>
                </c:pt>
                <c:pt idx="59">
                  <c:v>1.2189999999999999</c:v>
                </c:pt>
                <c:pt idx="60">
                  <c:v>1.829</c:v>
                </c:pt>
                <c:pt idx="61">
                  <c:v>1.2189999999999999</c:v>
                </c:pt>
                <c:pt idx="62">
                  <c:v>0.6100000000000001</c:v>
                </c:pt>
                <c:pt idx="63">
                  <c:v>1.2189999999999999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67204992"/>
        <c:axId val="67207168"/>
      </c:scatterChart>
      <c:valAx>
        <c:axId val="67204992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Predicción</a:t>
                </a:r>
                <a:r>
                  <a:rPr lang="es-AR" baseline="0"/>
                  <a:t> SVM</a:t>
                </a:r>
                <a:r>
                  <a:rPr lang="es-AR" sz="1000" b="1" i="0" u="none" strike="noStrike" baseline="0"/>
                  <a:t>(Altura en mts.)</a:t>
                </a:r>
                <a:endParaRPr lang="es-AR" baseline="0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67207168"/>
        <c:crosses val="autoZero"/>
        <c:crossBetween val="midCat"/>
        <c:majorUnit val="2"/>
      </c:valAx>
      <c:valAx>
        <c:axId val="6720716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672049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4703B-D5A5-4674-ABE8-92F9F9F9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</cp:lastModifiedBy>
  <cp:revision>29</cp:revision>
  <dcterms:created xsi:type="dcterms:W3CDTF">2010-05-18T22:24:00Z</dcterms:created>
  <dcterms:modified xsi:type="dcterms:W3CDTF">2010-05-21T04:11:00Z</dcterms:modified>
</cp:coreProperties>
</file>