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DE9" w:rsidRPr="001D5E89" w:rsidRDefault="00F96DE9" w:rsidP="00F96DE9">
      <w:pPr>
        <w:pStyle w:val="Heading3"/>
        <w:rPr>
          <w:rFonts w:asciiTheme="minorHAnsi" w:hAnsiTheme="minorHAnsi" w:cstheme="minorHAnsi"/>
          <w:color w:val="000000"/>
          <w:sz w:val="22"/>
          <w:szCs w:val="22"/>
          <w:lang w:val="es-ES"/>
        </w:rPr>
      </w:pPr>
      <w:bookmarkStart w:id="0" w:name="_Toc262167591"/>
      <w:r w:rsidRPr="001D5E89">
        <w:rPr>
          <w:rFonts w:asciiTheme="minorHAnsi" w:hAnsiTheme="minorHAnsi" w:cstheme="minorHAnsi"/>
          <w:color w:val="000000"/>
          <w:sz w:val="22"/>
          <w:szCs w:val="22"/>
          <w:lang w:val="es-ES"/>
        </w:rPr>
        <w:t>4.5.</w:t>
      </w:r>
      <w:r>
        <w:rPr>
          <w:rFonts w:asciiTheme="minorHAnsi" w:hAnsiTheme="minorHAnsi" w:cstheme="minorHAnsi"/>
          <w:color w:val="000000"/>
          <w:sz w:val="22"/>
          <w:szCs w:val="22"/>
          <w:lang w:val="es-ES"/>
        </w:rPr>
        <w:t>4</w:t>
      </w:r>
      <w:r w:rsidRPr="001D5E89"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 </w:t>
      </w:r>
      <w:bookmarkEnd w:id="0"/>
      <w:proofErr w:type="spellStart"/>
      <w:r>
        <w:rPr>
          <w:rFonts w:asciiTheme="minorHAnsi" w:hAnsiTheme="minorHAnsi" w:cstheme="minorHAnsi"/>
          <w:color w:val="000000"/>
          <w:sz w:val="22"/>
          <w:szCs w:val="22"/>
          <w:lang w:val="es-ES"/>
        </w:rPr>
        <w:t>Makapuu</w:t>
      </w:r>
      <w:proofErr w:type="spellEnd"/>
    </w:p>
    <w:p w:rsidR="00F96DE9" w:rsidRPr="002504C5" w:rsidRDefault="00F96DE9" w:rsidP="00F96DE9">
      <w:pPr>
        <w:spacing w:after="200"/>
        <w:ind w:firstLine="708"/>
        <w:jc w:val="both"/>
        <w:rPr>
          <w:rFonts w:asciiTheme="minorHAnsi" w:hAnsiTheme="minorHAnsi" w:cstheme="minorHAnsi"/>
          <w:color w:val="000000"/>
          <w:lang w:val="es-ES"/>
        </w:rPr>
      </w:pPr>
      <w:r w:rsidRPr="002504C5">
        <w:rPr>
          <w:rFonts w:asciiTheme="minorHAnsi" w:hAnsiTheme="minorHAnsi" w:cstheme="minorHAnsi"/>
          <w:color w:val="000000"/>
          <w:lang w:val="es-ES"/>
        </w:rPr>
        <w:t xml:space="preserve">Esta ola se localiza en </w:t>
      </w:r>
      <w:r>
        <w:rPr>
          <w:rFonts w:asciiTheme="minorHAnsi" w:hAnsiTheme="minorHAnsi" w:cstheme="minorHAnsi"/>
          <w:color w:val="000000"/>
          <w:lang w:val="es-ES"/>
        </w:rPr>
        <w:t xml:space="preserve">el extremo este </w:t>
      </w:r>
      <w:r w:rsidRPr="002504C5">
        <w:rPr>
          <w:rFonts w:asciiTheme="minorHAnsi" w:hAnsiTheme="minorHAnsi" w:cstheme="minorHAnsi"/>
          <w:color w:val="000000"/>
          <w:lang w:val="es-ES"/>
        </w:rPr>
        <w:t xml:space="preserve">de Oahu, según se ve en la siguiente figura. La estrella naranja simboliza la ubicación aproximada del </w:t>
      </w:r>
      <w:proofErr w:type="spellStart"/>
      <w:r w:rsidRPr="002504C5">
        <w:rPr>
          <w:rFonts w:asciiTheme="minorHAnsi" w:hAnsiTheme="minorHAnsi" w:cstheme="minorHAnsi"/>
          <w:color w:val="000000"/>
          <w:lang w:val="es-ES"/>
        </w:rPr>
        <w:t>GridPoint</w:t>
      </w:r>
      <w:proofErr w:type="spellEnd"/>
      <w:r w:rsidRPr="002504C5">
        <w:rPr>
          <w:rFonts w:asciiTheme="minorHAnsi" w:hAnsiTheme="minorHAnsi" w:cstheme="minorHAnsi"/>
          <w:color w:val="000000"/>
          <w:lang w:val="es-ES"/>
        </w:rPr>
        <w:t xml:space="preserve"> utilizado del modelo WAVEWATCH III como fuente de pronósticos mar adentro.</w:t>
      </w:r>
    </w:p>
    <w:p w:rsidR="00F96DE9" w:rsidRPr="002504C5" w:rsidRDefault="00F96DE9" w:rsidP="00F96DE9">
      <w:pPr>
        <w:spacing w:after="200"/>
        <w:ind w:firstLine="708"/>
        <w:jc w:val="center"/>
        <w:rPr>
          <w:rFonts w:asciiTheme="minorHAnsi" w:hAnsiTheme="minorHAnsi" w:cstheme="minorHAnsi"/>
          <w:color w:val="000000"/>
          <w:lang w:val="es-ES"/>
        </w:rPr>
      </w:pPr>
      <w:r w:rsidRPr="002504C5">
        <w:rPr>
          <w:rFonts w:asciiTheme="minorHAnsi" w:hAnsiTheme="minorHAnsi" w:cstheme="minorHAnsi"/>
          <w:noProof/>
          <w:color w:val="000000"/>
          <w:lang w:eastAsia="es-AR"/>
        </w:rPr>
        <w:drawing>
          <wp:inline distT="0" distB="0" distL="0" distR="0">
            <wp:extent cx="4296763" cy="2882189"/>
            <wp:effectExtent l="19050" t="0" r="8537" b="0"/>
            <wp:docPr id="5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138" cy="2883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DE9" w:rsidRPr="002504C5" w:rsidRDefault="00F96DE9" w:rsidP="00F96DE9">
      <w:pPr>
        <w:pStyle w:val="estilofiguras"/>
        <w:rPr>
          <w:lang w:val="es-ES"/>
        </w:rPr>
      </w:pPr>
      <w:bookmarkStart w:id="1" w:name="_Toc262167635"/>
      <w:r w:rsidRPr="002504C5">
        <w:rPr>
          <w:lang w:val="es-ES"/>
        </w:rPr>
        <w:t>Fig. 4.1</w:t>
      </w:r>
      <w:r>
        <w:rPr>
          <w:lang w:val="es-ES"/>
        </w:rPr>
        <w:t>6</w:t>
      </w:r>
      <w:r w:rsidRPr="002504C5">
        <w:rPr>
          <w:lang w:val="es-ES"/>
        </w:rPr>
        <w:t xml:space="preserve">: Localización </w:t>
      </w:r>
      <w:proofErr w:type="spellStart"/>
      <w:r>
        <w:rPr>
          <w:lang w:val="es-ES"/>
        </w:rPr>
        <w:t>Makapuu</w:t>
      </w:r>
      <w:proofErr w:type="spellEnd"/>
      <w:r w:rsidRPr="002504C5">
        <w:rPr>
          <w:lang w:val="es-ES"/>
        </w:rPr>
        <w:t>, Oahu, Hawái.</w:t>
      </w:r>
      <w:bookmarkEnd w:id="1"/>
    </w:p>
    <w:p w:rsidR="00F96DE9" w:rsidRPr="002504C5" w:rsidRDefault="00F96DE9" w:rsidP="00F96DE9">
      <w:pPr>
        <w:spacing w:after="200"/>
        <w:ind w:firstLine="708"/>
        <w:jc w:val="both"/>
        <w:rPr>
          <w:rFonts w:asciiTheme="minorHAnsi" w:hAnsiTheme="minorHAnsi" w:cstheme="minorHAnsi"/>
          <w:color w:val="000000"/>
          <w:lang w:val="es-ES"/>
        </w:rPr>
      </w:pPr>
      <w:r>
        <w:rPr>
          <w:rFonts w:asciiTheme="minorHAnsi" w:hAnsiTheme="minorHAnsi" w:cstheme="minorHAnsi"/>
          <w:color w:val="000000"/>
          <w:lang w:val="es-ES"/>
        </w:rPr>
        <w:t>En las siguientes dos tablas 4.13 y 4.14</w:t>
      </w:r>
      <w:r w:rsidRPr="002504C5">
        <w:rPr>
          <w:rFonts w:asciiTheme="minorHAnsi" w:hAnsiTheme="minorHAnsi" w:cstheme="minorHAnsi"/>
          <w:color w:val="000000"/>
          <w:lang w:val="es-ES"/>
        </w:rPr>
        <w:t xml:space="preserve"> se muestra la correlación y MAE del modelo WAVEWATCH III y del clasificador (SVM) en contraste con las observaciones para la ola </w:t>
      </w:r>
      <w:proofErr w:type="spellStart"/>
      <w:r>
        <w:rPr>
          <w:rFonts w:asciiTheme="minorHAnsi" w:hAnsiTheme="minorHAnsi" w:cstheme="minorHAnsi"/>
          <w:color w:val="000000"/>
          <w:lang w:val="es-ES"/>
        </w:rPr>
        <w:t>Makapuu</w:t>
      </w:r>
      <w:proofErr w:type="spellEnd"/>
      <w:r w:rsidRPr="002504C5">
        <w:rPr>
          <w:rFonts w:asciiTheme="minorHAnsi" w:hAnsiTheme="minorHAnsi" w:cstheme="minorHAnsi"/>
          <w:color w:val="000000"/>
          <w:lang w:val="es-ES"/>
        </w:rPr>
        <w:t xml:space="preserve"> respectivamente.</w:t>
      </w:r>
    </w:p>
    <w:tbl>
      <w:tblPr>
        <w:tblStyle w:val="TableGrid"/>
        <w:tblW w:w="0" w:type="auto"/>
        <w:jc w:val="center"/>
        <w:tblInd w:w="-394" w:type="dxa"/>
        <w:tblLook w:val="04A0"/>
      </w:tblPr>
      <w:tblGrid>
        <w:gridCol w:w="2816"/>
        <w:gridCol w:w="2735"/>
      </w:tblGrid>
      <w:tr w:rsidR="00F96DE9" w:rsidRPr="002504C5" w:rsidTr="003E3C5C">
        <w:trPr>
          <w:jc w:val="center"/>
        </w:trPr>
        <w:tc>
          <w:tcPr>
            <w:tcW w:w="2816" w:type="dxa"/>
            <w:shd w:val="clear" w:color="auto" w:fill="D9D9D9" w:themeFill="background1" w:themeFillShade="D9"/>
          </w:tcPr>
          <w:p w:rsidR="00F96DE9" w:rsidRPr="002504C5" w:rsidRDefault="00F96DE9" w:rsidP="003E3C5C">
            <w:pPr>
              <w:spacing w:after="20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504C5">
              <w:rPr>
                <w:rFonts w:asciiTheme="minorHAnsi" w:hAnsiTheme="minorHAnsi" w:cstheme="minorHAnsi"/>
                <w:color w:val="000000"/>
              </w:rPr>
              <w:t xml:space="preserve">Correlación WW3 / </w:t>
            </w:r>
            <w:proofErr w:type="spellStart"/>
            <w:r w:rsidRPr="002504C5">
              <w:rPr>
                <w:rFonts w:asciiTheme="minorHAnsi" w:hAnsiTheme="minorHAnsi" w:cstheme="minorHAnsi"/>
                <w:color w:val="000000"/>
              </w:rPr>
              <w:t>Obs</w:t>
            </w:r>
            <w:proofErr w:type="spellEnd"/>
            <w:r w:rsidRPr="002504C5">
              <w:rPr>
                <w:rFonts w:asciiTheme="minorHAnsi" w:hAnsiTheme="minorHAnsi" w:cstheme="minorHAnsi"/>
                <w:color w:val="000000"/>
              </w:rPr>
              <w:t>. Visual</w:t>
            </w:r>
          </w:p>
        </w:tc>
        <w:tc>
          <w:tcPr>
            <w:tcW w:w="2735" w:type="dxa"/>
            <w:shd w:val="clear" w:color="auto" w:fill="D9D9D9" w:themeFill="background1" w:themeFillShade="D9"/>
          </w:tcPr>
          <w:p w:rsidR="00F96DE9" w:rsidRPr="002504C5" w:rsidRDefault="00F96DE9" w:rsidP="003E3C5C">
            <w:pPr>
              <w:spacing w:after="20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504C5">
              <w:rPr>
                <w:rFonts w:asciiTheme="minorHAnsi" w:hAnsiTheme="minorHAnsi" w:cstheme="minorHAnsi"/>
                <w:color w:val="000000"/>
              </w:rPr>
              <w:t xml:space="preserve">Correlación SVM / </w:t>
            </w:r>
            <w:proofErr w:type="spellStart"/>
            <w:r w:rsidRPr="002504C5">
              <w:rPr>
                <w:rFonts w:asciiTheme="minorHAnsi" w:hAnsiTheme="minorHAnsi" w:cstheme="minorHAnsi"/>
                <w:color w:val="000000"/>
              </w:rPr>
              <w:t>Obs</w:t>
            </w:r>
            <w:proofErr w:type="spellEnd"/>
            <w:r w:rsidRPr="002504C5">
              <w:rPr>
                <w:rFonts w:asciiTheme="minorHAnsi" w:hAnsiTheme="minorHAnsi" w:cstheme="minorHAnsi"/>
                <w:color w:val="000000"/>
              </w:rPr>
              <w:t>. Visual</w:t>
            </w:r>
          </w:p>
        </w:tc>
      </w:tr>
      <w:tr w:rsidR="00F96DE9" w:rsidRPr="002504C5" w:rsidTr="003E3C5C">
        <w:trPr>
          <w:jc w:val="center"/>
        </w:trPr>
        <w:tc>
          <w:tcPr>
            <w:tcW w:w="2816" w:type="dxa"/>
          </w:tcPr>
          <w:p w:rsidR="00F96DE9" w:rsidRPr="002504C5" w:rsidRDefault="00F96DE9" w:rsidP="00F96DE9">
            <w:pPr>
              <w:spacing w:after="20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40</w:t>
            </w:r>
            <w:r w:rsidRPr="002504C5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2735" w:type="dxa"/>
          </w:tcPr>
          <w:p w:rsidR="00F96DE9" w:rsidRPr="002504C5" w:rsidRDefault="00F96DE9" w:rsidP="003E3C5C">
            <w:pPr>
              <w:spacing w:after="20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79</w:t>
            </w:r>
            <w:r w:rsidRPr="002504C5">
              <w:rPr>
                <w:rFonts w:asciiTheme="minorHAnsi" w:hAnsiTheme="minorHAnsi" w:cstheme="minorHAnsi"/>
                <w:color w:val="000000"/>
              </w:rPr>
              <w:t>%</w:t>
            </w:r>
          </w:p>
        </w:tc>
      </w:tr>
    </w:tbl>
    <w:p w:rsidR="00F96DE9" w:rsidRDefault="00F96DE9" w:rsidP="00F96DE9">
      <w:pPr>
        <w:pStyle w:val="estilofiguras"/>
        <w:rPr>
          <w:lang w:val="es-ES"/>
        </w:rPr>
      </w:pPr>
      <w:bookmarkStart w:id="2" w:name="_Toc262167636"/>
      <w:r>
        <w:rPr>
          <w:lang w:val="es-ES"/>
        </w:rPr>
        <w:t xml:space="preserve">Tabla 4.13: Correlación en </w:t>
      </w:r>
      <w:proofErr w:type="spellStart"/>
      <w:r>
        <w:rPr>
          <w:lang w:val="es-ES"/>
        </w:rPr>
        <w:t>Makapuu</w:t>
      </w:r>
      <w:proofErr w:type="spellEnd"/>
      <w:r>
        <w:rPr>
          <w:lang w:val="es-ES"/>
        </w:rPr>
        <w:t>.</w:t>
      </w:r>
      <w:bookmarkEnd w:id="2"/>
    </w:p>
    <w:p w:rsidR="00F96DE9" w:rsidRPr="002504C5" w:rsidRDefault="00F96DE9" w:rsidP="00F96DE9">
      <w:pPr>
        <w:rPr>
          <w:lang w:val="es-ES"/>
        </w:rPr>
      </w:pPr>
    </w:p>
    <w:tbl>
      <w:tblPr>
        <w:tblStyle w:val="TableGrid"/>
        <w:tblW w:w="0" w:type="auto"/>
        <w:jc w:val="center"/>
        <w:tblLook w:val="04A0"/>
      </w:tblPr>
      <w:tblGrid>
        <w:gridCol w:w="2613"/>
        <w:gridCol w:w="2835"/>
      </w:tblGrid>
      <w:tr w:rsidR="00F96DE9" w:rsidRPr="002504C5" w:rsidTr="003E3C5C">
        <w:trPr>
          <w:trHeight w:val="378"/>
          <w:jc w:val="center"/>
        </w:trPr>
        <w:tc>
          <w:tcPr>
            <w:tcW w:w="2613" w:type="dxa"/>
            <w:shd w:val="clear" w:color="auto" w:fill="D9D9D9" w:themeFill="background1" w:themeFillShade="D9"/>
          </w:tcPr>
          <w:p w:rsidR="00F96DE9" w:rsidRPr="002504C5" w:rsidRDefault="00F96DE9" w:rsidP="003E3C5C">
            <w:pPr>
              <w:spacing w:after="20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504C5">
              <w:rPr>
                <w:rFonts w:asciiTheme="minorHAnsi" w:hAnsiTheme="minorHAnsi" w:cstheme="minorHAnsi"/>
                <w:color w:val="000000"/>
              </w:rPr>
              <w:t xml:space="preserve">MAE WW3 / </w:t>
            </w:r>
            <w:proofErr w:type="spellStart"/>
            <w:r w:rsidRPr="002504C5">
              <w:rPr>
                <w:rFonts w:asciiTheme="minorHAnsi" w:hAnsiTheme="minorHAnsi" w:cstheme="minorHAnsi"/>
                <w:color w:val="000000"/>
              </w:rPr>
              <w:t>Obs</w:t>
            </w:r>
            <w:proofErr w:type="spellEnd"/>
            <w:r w:rsidRPr="002504C5">
              <w:rPr>
                <w:rFonts w:asciiTheme="minorHAnsi" w:hAnsiTheme="minorHAnsi" w:cstheme="minorHAnsi"/>
                <w:color w:val="000000"/>
              </w:rPr>
              <w:t>. Visual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F96DE9" w:rsidRPr="002504C5" w:rsidRDefault="00F96DE9" w:rsidP="003E3C5C">
            <w:pPr>
              <w:spacing w:after="20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504C5">
              <w:rPr>
                <w:rFonts w:asciiTheme="minorHAnsi" w:hAnsiTheme="minorHAnsi" w:cstheme="minorHAnsi"/>
                <w:color w:val="000000"/>
              </w:rPr>
              <w:t xml:space="preserve">MAE </w:t>
            </w:r>
            <w:r>
              <w:rPr>
                <w:rFonts w:asciiTheme="minorHAnsi" w:hAnsiTheme="minorHAnsi" w:cstheme="minorHAnsi"/>
                <w:color w:val="000000"/>
              </w:rPr>
              <w:t xml:space="preserve">SVM </w:t>
            </w:r>
            <w:r w:rsidRPr="002504C5">
              <w:rPr>
                <w:rFonts w:asciiTheme="minorHAnsi" w:hAnsiTheme="minorHAnsi" w:cstheme="minorHAnsi"/>
                <w:color w:val="000000"/>
              </w:rPr>
              <w:t>/</w:t>
            </w:r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2504C5">
              <w:rPr>
                <w:rFonts w:asciiTheme="minorHAnsi" w:hAnsiTheme="minorHAnsi" w:cstheme="minorHAnsi"/>
                <w:color w:val="000000"/>
              </w:rPr>
              <w:t>Obs</w:t>
            </w:r>
            <w:proofErr w:type="spellEnd"/>
            <w:r w:rsidRPr="002504C5">
              <w:rPr>
                <w:rFonts w:asciiTheme="minorHAnsi" w:hAnsiTheme="minorHAnsi" w:cstheme="minorHAnsi"/>
                <w:color w:val="000000"/>
              </w:rPr>
              <w:t>. Visual</w:t>
            </w:r>
          </w:p>
        </w:tc>
      </w:tr>
      <w:tr w:rsidR="00F96DE9" w:rsidRPr="002504C5" w:rsidTr="003E3C5C">
        <w:trPr>
          <w:jc w:val="center"/>
        </w:trPr>
        <w:tc>
          <w:tcPr>
            <w:tcW w:w="2613" w:type="dxa"/>
          </w:tcPr>
          <w:p w:rsidR="00F96DE9" w:rsidRPr="002504C5" w:rsidRDefault="00F96DE9" w:rsidP="00F96DE9">
            <w:pPr>
              <w:spacing w:after="20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0</w:t>
            </w:r>
            <w:r w:rsidRPr="002504C5">
              <w:rPr>
                <w:rFonts w:asciiTheme="minorHAnsi" w:hAnsiTheme="minorHAnsi" w:cstheme="minorHAnsi"/>
                <w:color w:val="000000"/>
              </w:rPr>
              <w:t>.</w:t>
            </w:r>
            <w:r>
              <w:rPr>
                <w:rFonts w:asciiTheme="minorHAnsi" w:hAnsiTheme="minorHAnsi" w:cstheme="minorHAnsi"/>
                <w:color w:val="000000"/>
              </w:rPr>
              <w:t>9</w:t>
            </w:r>
            <w:r w:rsidRPr="002504C5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2504C5">
              <w:rPr>
                <w:rFonts w:asciiTheme="minorHAnsi" w:hAnsiTheme="minorHAnsi" w:cstheme="minorHAnsi"/>
                <w:color w:val="000000"/>
              </w:rPr>
              <w:t>mts</w:t>
            </w:r>
            <w:proofErr w:type="spellEnd"/>
          </w:p>
        </w:tc>
        <w:tc>
          <w:tcPr>
            <w:tcW w:w="2835" w:type="dxa"/>
          </w:tcPr>
          <w:p w:rsidR="00F96DE9" w:rsidRPr="002504C5" w:rsidRDefault="00F96DE9" w:rsidP="00F96DE9">
            <w:pPr>
              <w:spacing w:after="20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504C5">
              <w:rPr>
                <w:rFonts w:asciiTheme="minorHAnsi" w:hAnsiTheme="minorHAnsi" w:cstheme="minorHAnsi"/>
                <w:color w:val="000000"/>
              </w:rPr>
              <w:t>0.</w:t>
            </w:r>
            <w:r>
              <w:rPr>
                <w:rFonts w:asciiTheme="minorHAnsi" w:hAnsiTheme="minorHAnsi" w:cstheme="minorHAnsi"/>
                <w:color w:val="000000"/>
              </w:rPr>
              <w:t>47</w:t>
            </w:r>
            <w:r w:rsidRPr="002504C5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2504C5">
              <w:rPr>
                <w:rFonts w:asciiTheme="minorHAnsi" w:hAnsiTheme="minorHAnsi" w:cstheme="minorHAnsi"/>
                <w:color w:val="000000"/>
              </w:rPr>
              <w:t>mts</w:t>
            </w:r>
            <w:proofErr w:type="spellEnd"/>
          </w:p>
        </w:tc>
      </w:tr>
    </w:tbl>
    <w:p w:rsidR="00F96DE9" w:rsidRPr="002504C5" w:rsidRDefault="00F96DE9" w:rsidP="00F96DE9">
      <w:pPr>
        <w:pStyle w:val="estilofiguras"/>
        <w:rPr>
          <w:lang w:val="es-ES"/>
        </w:rPr>
      </w:pPr>
      <w:bookmarkStart w:id="3" w:name="_Toc262167637"/>
      <w:r>
        <w:rPr>
          <w:lang w:val="es-ES"/>
        </w:rPr>
        <w:t xml:space="preserve">Tabla 4.14: MAE en </w:t>
      </w:r>
      <w:proofErr w:type="spellStart"/>
      <w:r>
        <w:rPr>
          <w:lang w:val="es-ES"/>
        </w:rPr>
        <w:t>Makapuu</w:t>
      </w:r>
      <w:proofErr w:type="spellEnd"/>
      <w:r>
        <w:rPr>
          <w:lang w:val="es-ES"/>
        </w:rPr>
        <w:t>.</w:t>
      </w:r>
      <w:bookmarkEnd w:id="3"/>
    </w:p>
    <w:p w:rsidR="00F96DE9" w:rsidRPr="001A0EEA" w:rsidRDefault="00F96DE9" w:rsidP="00F96DE9">
      <w:pPr>
        <w:ind w:firstLine="708"/>
        <w:jc w:val="both"/>
        <w:rPr>
          <w:rFonts w:asciiTheme="minorHAnsi" w:hAnsiTheme="minorHAnsi" w:cstheme="minorHAnsi"/>
          <w:color w:val="000000"/>
          <w:lang w:val="es-ES"/>
        </w:rPr>
      </w:pPr>
      <w:r w:rsidRPr="001A0EEA">
        <w:rPr>
          <w:rFonts w:asciiTheme="minorHAnsi" w:hAnsiTheme="minorHAnsi" w:cstheme="minorHAnsi"/>
          <w:color w:val="000000"/>
          <w:lang w:val="es-ES"/>
        </w:rPr>
        <w:t xml:space="preserve">A continuación, en las figuras </w:t>
      </w:r>
      <w:r w:rsidR="00566C75">
        <w:rPr>
          <w:rFonts w:asciiTheme="minorHAnsi" w:hAnsiTheme="minorHAnsi" w:cstheme="minorHAnsi"/>
          <w:color w:val="000000"/>
          <w:lang w:val="es-ES"/>
        </w:rPr>
        <w:t>4.17 y 4.18</w:t>
      </w:r>
      <w:r w:rsidRPr="001A0EEA">
        <w:rPr>
          <w:rFonts w:asciiTheme="minorHAnsi" w:hAnsiTheme="minorHAnsi" w:cstheme="minorHAnsi"/>
          <w:color w:val="000000"/>
          <w:lang w:val="es-ES"/>
        </w:rPr>
        <w:t xml:space="preserve">, se grafican el valor de altura de ola predicho por cada uno de los sistemas en comparados con el valor de altura de ola reportado por el observador. </w:t>
      </w:r>
    </w:p>
    <w:p w:rsidR="00F96DE9" w:rsidRPr="001A0EEA" w:rsidRDefault="00F96DE9" w:rsidP="00F96DE9">
      <w:pPr>
        <w:ind w:firstLine="708"/>
        <w:jc w:val="both"/>
        <w:rPr>
          <w:rFonts w:asciiTheme="minorHAnsi" w:hAnsiTheme="minorHAnsi" w:cstheme="minorHAnsi"/>
          <w:color w:val="000000"/>
          <w:lang w:val="es-ES"/>
        </w:rPr>
      </w:pPr>
    </w:p>
    <w:p w:rsidR="00F96DE9" w:rsidRPr="002504C5" w:rsidRDefault="00F96DE9" w:rsidP="00F96DE9">
      <w:pPr>
        <w:spacing w:after="200"/>
        <w:ind w:firstLine="708"/>
        <w:jc w:val="both"/>
        <w:rPr>
          <w:rFonts w:asciiTheme="minorHAnsi" w:hAnsiTheme="minorHAnsi" w:cstheme="minorHAnsi"/>
          <w:color w:val="000000"/>
          <w:lang w:val="es-ES"/>
        </w:rPr>
      </w:pPr>
      <w:r>
        <w:rPr>
          <w:rFonts w:asciiTheme="minorHAnsi" w:hAnsiTheme="minorHAnsi" w:cstheme="minorHAnsi"/>
          <w:color w:val="000000"/>
          <w:lang w:val="es-ES"/>
        </w:rPr>
        <w:t>Al mismo tiempo, en las figuras</w:t>
      </w:r>
      <w:r w:rsidR="00566C75">
        <w:rPr>
          <w:rFonts w:asciiTheme="minorHAnsi" w:hAnsiTheme="minorHAnsi" w:cstheme="minorHAnsi"/>
          <w:color w:val="000000"/>
          <w:lang w:val="es-ES"/>
        </w:rPr>
        <w:t xml:space="preserve"> 4.19</w:t>
      </w:r>
      <w:r>
        <w:rPr>
          <w:rFonts w:asciiTheme="minorHAnsi" w:hAnsiTheme="minorHAnsi" w:cstheme="minorHAnsi"/>
          <w:color w:val="000000"/>
          <w:lang w:val="es-ES"/>
        </w:rPr>
        <w:t xml:space="preserve"> y 4.</w:t>
      </w:r>
      <w:r w:rsidR="00566C75">
        <w:rPr>
          <w:rFonts w:asciiTheme="minorHAnsi" w:hAnsiTheme="minorHAnsi" w:cstheme="minorHAnsi"/>
          <w:color w:val="000000"/>
          <w:lang w:val="es-ES"/>
        </w:rPr>
        <w:t>20</w:t>
      </w:r>
      <w:r w:rsidRPr="002504C5">
        <w:rPr>
          <w:rFonts w:asciiTheme="minorHAnsi" w:hAnsiTheme="minorHAnsi" w:cstheme="minorHAnsi"/>
          <w:color w:val="000000"/>
          <w:lang w:val="es-ES"/>
        </w:rPr>
        <w:t xml:space="preserve">, muestran dos gráficos de dispersión que relacionan las predicciones del cada sistema junto a las observaciones costeras, brindando mejor visibilidad del margen de error de las predicciones. La línea verde representa los valores ideales en que los reportes del modelo son idénticos a lo observado en la costa. </w:t>
      </w:r>
    </w:p>
    <w:p w:rsidR="00F96DE9" w:rsidRPr="002504C5" w:rsidRDefault="00F96DE9" w:rsidP="00F96DE9">
      <w:pPr>
        <w:spacing w:after="200"/>
        <w:ind w:firstLine="708"/>
        <w:jc w:val="both"/>
        <w:rPr>
          <w:rFonts w:asciiTheme="minorHAnsi" w:hAnsiTheme="minorHAnsi" w:cstheme="minorHAnsi"/>
          <w:color w:val="000000"/>
          <w:lang w:val="es-ES"/>
        </w:rPr>
        <w:sectPr w:rsidR="00F96DE9" w:rsidRPr="002504C5" w:rsidSect="00470430">
          <w:headerReference w:type="default" r:id="rId5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F96DE9" w:rsidRPr="002504C5" w:rsidRDefault="000A202B" w:rsidP="00F96DE9">
      <w:pPr>
        <w:spacing w:after="200"/>
        <w:ind w:firstLine="708"/>
        <w:jc w:val="center"/>
        <w:rPr>
          <w:rFonts w:asciiTheme="minorHAnsi" w:hAnsiTheme="minorHAnsi" w:cstheme="minorHAnsi"/>
          <w:color w:val="000000"/>
          <w:lang w:val="es-ES"/>
        </w:rPr>
      </w:pPr>
      <w:r w:rsidRPr="000A202B">
        <w:rPr>
          <w:rFonts w:asciiTheme="minorHAnsi" w:hAnsiTheme="minorHAnsi" w:cstheme="minorHAnsi"/>
          <w:color w:val="000000"/>
          <w:lang w:val="es-ES"/>
        </w:rPr>
        <w:lastRenderedPageBreak/>
        <w:drawing>
          <wp:inline distT="0" distB="0" distL="0" distR="0">
            <wp:extent cx="8239125" cy="2076450"/>
            <wp:effectExtent l="19050" t="0" r="952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96DE9" w:rsidRPr="002504C5" w:rsidRDefault="00F96DE9" w:rsidP="00F96DE9">
      <w:pPr>
        <w:pStyle w:val="estilofiguras"/>
        <w:rPr>
          <w:lang w:val="es-ES"/>
        </w:rPr>
      </w:pPr>
      <w:bookmarkStart w:id="4" w:name="_Toc262167638"/>
      <w:r>
        <w:rPr>
          <w:lang w:val="es-ES"/>
        </w:rPr>
        <w:t>Fig. 4.17</w:t>
      </w:r>
      <w:r w:rsidRPr="002504C5">
        <w:rPr>
          <w:lang w:val="es-ES"/>
        </w:rPr>
        <w:t xml:space="preserve">: Altura de ola predicha en </w:t>
      </w:r>
      <w:proofErr w:type="spellStart"/>
      <w:r w:rsidR="00566C75">
        <w:rPr>
          <w:lang w:val="es-ES"/>
        </w:rPr>
        <w:t>Makapuu</w:t>
      </w:r>
      <w:proofErr w:type="spellEnd"/>
      <w:r w:rsidRPr="002504C5">
        <w:rPr>
          <w:lang w:val="es-ES"/>
        </w:rPr>
        <w:t xml:space="preserve"> por WAVEWATCH III en contraste con las observaciones visuales en la costa.</w:t>
      </w:r>
      <w:bookmarkEnd w:id="4"/>
    </w:p>
    <w:p w:rsidR="00F96DE9" w:rsidRDefault="00F96DE9" w:rsidP="00F96DE9">
      <w:pPr>
        <w:spacing w:after="200"/>
        <w:ind w:firstLine="708"/>
        <w:jc w:val="center"/>
        <w:rPr>
          <w:rFonts w:asciiTheme="minorHAnsi" w:hAnsiTheme="minorHAnsi" w:cstheme="minorHAnsi"/>
          <w:color w:val="000000"/>
          <w:lang w:val="es-ES"/>
        </w:rPr>
      </w:pPr>
    </w:p>
    <w:p w:rsidR="00F96DE9" w:rsidRPr="002504C5" w:rsidRDefault="000A202B" w:rsidP="00F96DE9">
      <w:pPr>
        <w:spacing w:after="200"/>
        <w:ind w:firstLine="708"/>
        <w:jc w:val="center"/>
        <w:rPr>
          <w:rFonts w:asciiTheme="minorHAnsi" w:hAnsiTheme="minorHAnsi" w:cstheme="minorHAnsi"/>
          <w:color w:val="000000"/>
          <w:lang w:val="es-ES"/>
        </w:rPr>
      </w:pPr>
      <w:r w:rsidRPr="000A202B">
        <w:rPr>
          <w:rFonts w:asciiTheme="minorHAnsi" w:hAnsiTheme="minorHAnsi" w:cstheme="minorHAnsi"/>
          <w:color w:val="000000"/>
          <w:lang w:val="es-ES"/>
        </w:rPr>
        <w:drawing>
          <wp:inline distT="0" distB="0" distL="0" distR="0">
            <wp:extent cx="8267700" cy="2247900"/>
            <wp:effectExtent l="19050" t="0" r="1905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96DE9" w:rsidRPr="002504C5" w:rsidRDefault="00F96DE9" w:rsidP="00F96DE9">
      <w:pPr>
        <w:pStyle w:val="estilofiguras"/>
        <w:rPr>
          <w:lang w:val="es-ES"/>
        </w:rPr>
        <w:sectPr w:rsidR="00F96DE9" w:rsidRPr="002504C5" w:rsidSect="00470430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  <w:bookmarkStart w:id="5" w:name="_Toc262167639"/>
      <w:r w:rsidRPr="002504C5">
        <w:rPr>
          <w:lang w:val="es-ES"/>
        </w:rPr>
        <w:t>Fig. 4.</w:t>
      </w:r>
      <w:r>
        <w:rPr>
          <w:lang w:val="es-ES"/>
        </w:rPr>
        <w:t>18</w:t>
      </w:r>
      <w:r w:rsidRPr="002504C5">
        <w:rPr>
          <w:lang w:val="es-ES"/>
        </w:rPr>
        <w:t xml:space="preserve">: Altura de la ola predicha en </w:t>
      </w:r>
      <w:proofErr w:type="spellStart"/>
      <w:r w:rsidR="00566C75">
        <w:rPr>
          <w:lang w:val="es-ES"/>
        </w:rPr>
        <w:t>Makapuu</w:t>
      </w:r>
      <w:proofErr w:type="spellEnd"/>
      <w:r w:rsidRPr="002504C5">
        <w:rPr>
          <w:lang w:val="es-ES"/>
        </w:rPr>
        <w:t xml:space="preserve"> por SVM en contraste con las observaciones visuales en la costa.</w:t>
      </w:r>
      <w:bookmarkEnd w:id="5"/>
    </w:p>
    <w:p w:rsidR="00F96DE9" w:rsidRPr="002504C5" w:rsidRDefault="00F96DE9" w:rsidP="00F96DE9">
      <w:pPr>
        <w:spacing w:after="200"/>
        <w:ind w:firstLine="708"/>
        <w:jc w:val="center"/>
        <w:rPr>
          <w:rFonts w:asciiTheme="minorHAnsi" w:hAnsiTheme="minorHAnsi" w:cstheme="minorHAnsi"/>
          <w:color w:val="000000"/>
          <w:lang w:val="es-ES"/>
        </w:rPr>
      </w:pPr>
      <w:r w:rsidRPr="002504C5">
        <w:rPr>
          <w:rFonts w:asciiTheme="minorHAnsi" w:hAnsiTheme="minorHAnsi" w:cstheme="minorHAnsi"/>
          <w:noProof/>
          <w:color w:val="000000"/>
          <w:lang w:eastAsia="es-AR"/>
        </w:rPr>
        <w:lastRenderedPageBreak/>
        <w:drawing>
          <wp:inline distT="0" distB="0" distL="0" distR="0">
            <wp:extent cx="5390318" cy="3373821"/>
            <wp:effectExtent l="19050" t="0" r="19882" b="0"/>
            <wp:docPr id="53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96DE9" w:rsidRPr="002504C5" w:rsidRDefault="00F96DE9" w:rsidP="00F96DE9">
      <w:pPr>
        <w:pStyle w:val="estilofiguras"/>
        <w:rPr>
          <w:lang w:val="es-ES"/>
        </w:rPr>
      </w:pPr>
      <w:bookmarkStart w:id="6" w:name="_Toc262167640"/>
      <w:r w:rsidRPr="002504C5">
        <w:rPr>
          <w:lang w:val="es-ES"/>
        </w:rPr>
        <w:t>Fig. 4.</w:t>
      </w:r>
      <w:r>
        <w:rPr>
          <w:lang w:val="es-ES"/>
        </w:rPr>
        <w:t>19</w:t>
      </w:r>
      <w:r w:rsidR="00857393">
        <w:rPr>
          <w:lang w:val="es-ES"/>
        </w:rPr>
        <w:t>: Grá</w:t>
      </w:r>
      <w:r w:rsidRPr="002504C5">
        <w:rPr>
          <w:lang w:val="es-ES"/>
        </w:rPr>
        <w:t xml:space="preserve">fico de dispersión (en base a la altura de las olas) en </w:t>
      </w:r>
      <w:proofErr w:type="spellStart"/>
      <w:r w:rsidR="00566C75">
        <w:rPr>
          <w:lang w:val="es-ES"/>
        </w:rPr>
        <w:t>Makapuu</w:t>
      </w:r>
      <w:proofErr w:type="spellEnd"/>
      <w:r w:rsidRPr="002504C5">
        <w:rPr>
          <w:lang w:val="es-ES"/>
        </w:rPr>
        <w:t xml:space="preserve"> entre las predicciones de WAVEWATCH III y las observaciones costeras.</w:t>
      </w:r>
      <w:bookmarkEnd w:id="6"/>
    </w:p>
    <w:p w:rsidR="00F96DE9" w:rsidRPr="002504C5" w:rsidRDefault="00F96DE9" w:rsidP="00F96DE9">
      <w:pPr>
        <w:spacing w:after="200"/>
        <w:ind w:firstLine="708"/>
        <w:jc w:val="both"/>
        <w:rPr>
          <w:rFonts w:asciiTheme="minorHAnsi" w:hAnsiTheme="minorHAnsi" w:cstheme="minorHAnsi"/>
          <w:color w:val="000000"/>
          <w:lang w:val="es-ES"/>
        </w:rPr>
      </w:pPr>
    </w:p>
    <w:p w:rsidR="00F96DE9" w:rsidRPr="002504C5" w:rsidRDefault="00F96DE9" w:rsidP="00F96DE9">
      <w:pPr>
        <w:spacing w:after="200"/>
        <w:ind w:firstLine="708"/>
        <w:jc w:val="center"/>
        <w:rPr>
          <w:rFonts w:asciiTheme="minorHAnsi" w:hAnsiTheme="minorHAnsi" w:cstheme="minorHAnsi"/>
          <w:color w:val="000000"/>
          <w:lang w:val="es-ES"/>
        </w:rPr>
      </w:pPr>
      <w:r w:rsidRPr="002504C5">
        <w:rPr>
          <w:rFonts w:asciiTheme="minorHAnsi" w:hAnsiTheme="minorHAnsi" w:cstheme="minorHAnsi"/>
          <w:noProof/>
          <w:color w:val="000000"/>
          <w:lang w:eastAsia="es-AR"/>
        </w:rPr>
        <w:drawing>
          <wp:inline distT="0" distB="0" distL="0" distR="0">
            <wp:extent cx="5375743" cy="3364302"/>
            <wp:effectExtent l="19050" t="0" r="15407" b="7548"/>
            <wp:docPr id="54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96DE9" w:rsidRPr="002504C5" w:rsidRDefault="00F96DE9" w:rsidP="00F96DE9">
      <w:pPr>
        <w:pStyle w:val="estilofiguras"/>
        <w:rPr>
          <w:lang w:val="es-ES"/>
        </w:rPr>
      </w:pPr>
      <w:bookmarkStart w:id="7" w:name="_Toc262167641"/>
      <w:r w:rsidRPr="002504C5">
        <w:rPr>
          <w:lang w:val="es-ES"/>
        </w:rPr>
        <w:t>Fig. 4.</w:t>
      </w:r>
      <w:r>
        <w:rPr>
          <w:lang w:val="es-ES"/>
        </w:rPr>
        <w:t>20</w:t>
      </w:r>
      <w:r w:rsidRPr="002504C5">
        <w:rPr>
          <w:lang w:val="es-ES"/>
        </w:rPr>
        <w:t>: Gr</w:t>
      </w:r>
      <w:r w:rsidR="00857393">
        <w:rPr>
          <w:lang w:val="es-ES"/>
        </w:rPr>
        <w:t>á</w:t>
      </w:r>
      <w:r w:rsidRPr="002504C5">
        <w:rPr>
          <w:lang w:val="es-ES"/>
        </w:rPr>
        <w:t xml:space="preserve">fico de dispersión (en base a la altura de las olas) en </w:t>
      </w:r>
      <w:proofErr w:type="spellStart"/>
      <w:r w:rsidR="00566C75">
        <w:rPr>
          <w:lang w:val="es-ES"/>
        </w:rPr>
        <w:t>Makapuu</w:t>
      </w:r>
      <w:proofErr w:type="spellEnd"/>
      <w:r w:rsidRPr="002504C5">
        <w:rPr>
          <w:lang w:val="es-ES"/>
        </w:rPr>
        <w:t xml:space="preserve"> entre las predicciones de SVM y las observaciones costeras.</w:t>
      </w:r>
      <w:bookmarkEnd w:id="7"/>
    </w:p>
    <w:p w:rsidR="00F96DE9" w:rsidRPr="002504C5" w:rsidRDefault="00F96DE9" w:rsidP="00F96DE9">
      <w:pPr>
        <w:spacing w:after="200"/>
        <w:ind w:firstLine="708"/>
        <w:jc w:val="both"/>
        <w:rPr>
          <w:rFonts w:asciiTheme="minorHAnsi" w:hAnsiTheme="minorHAnsi" w:cstheme="minorHAnsi"/>
          <w:color w:val="000000"/>
          <w:lang w:val="es-ES"/>
        </w:rPr>
      </w:pPr>
      <w:r w:rsidRPr="002504C5">
        <w:rPr>
          <w:rFonts w:asciiTheme="minorHAnsi" w:hAnsiTheme="minorHAnsi" w:cstheme="minorHAnsi"/>
          <w:color w:val="000000"/>
          <w:lang w:val="es-ES"/>
        </w:rPr>
        <w:lastRenderedPageBreak/>
        <w:t>Tanto en las tablas como en los gráficos descriptos anteriormente se puede observar la mejora en la predicción provista por el clasificador frente al sistema WAVEWATCH</w:t>
      </w:r>
      <w:r>
        <w:rPr>
          <w:rFonts w:asciiTheme="minorHAnsi" w:hAnsiTheme="minorHAnsi" w:cstheme="minorHAnsi"/>
          <w:color w:val="000000"/>
          <w:lang w:val="es-ES"/>
        </w:rPr>
        <w:t xml:space="preserve"> III</w:t>
      </w:r>
      <w:r w:rsidR="00566C75">
        <w:rPr>
          <w:rFonts w:asciiTheme="minorHAnsi" w:hAnsiTheme="minorHAnsi" w:cstheme="minorHAnsi"/>
          <w:color w:val="000000"/>
          <w:lang w:val="es-ES"/>
        </w:rPr>
        <w:t>. En las tablas 4.13 y 4.14</w:t>
      </w:r>
      <w:r w:rsidRPr="002504C5">
        <w:rPr>
          <w:rFonts w:asciiTheme="minorHAnsi" w:hAnsiTheme="minorHAnsi" w:cstheme="minorHAnsi"/>
          <w:color w:val="000000"/>
          <w:lang w:val="es-ES"/>
        </w:rPr>
        <w:t xml:space="preserve"> vemos un incr</w:t>
      </w:r>
      <w:r w:rsidR="00566C75">
        <w:rPr>
          <w:rFonts w:asciiTheme="minorHAnsi" w:hAnsiTheme="minorHAnsi" w:cstheme="minorHAnsi"/>
          <w:color w:val="000000"/>
          <w:lang w:val="es-ES"/>
        </w:rPr>
        <w:t>emento en la correlación de un 34</w:t>
      </w:r>
      <w:r w:rsidRPr="002504C5">
        <w:rPr>
          <w:rFonts w:asciiTheme="minorHAnsi" w:hAnsiTheme="minorHAnsi" w:cstheme="minorHAnsi"/>
          <w:color w:val="000000"/>
          <w:lang w:val="es-ES"/>
        </w:rPr>
        <w:t xml:space="preserve">% y una disminución del error absoluto promedio de </w:t>
      </w:r>
      <w:r w:rsidR="00566C75">
        <w:rPr>
          <w:rFonts w:asciiTheme="minorHAnsi" w:hAnsiTheme="minorHAnsi" w:cstheme="minorHAnsi"/>
          <w:color w:val="000000"/>
          <w:lang w:val="es-ES"/>
        </w:rPr>
        <w:t>43</w:t>
      </w:r>
      <w:r w:rsidRPr="002504C5">
        <w:rPr>
          <w:rFonts w:asciiTheme="minorHAnsi" w:hAnsiTheme="minorHAnsi" w:cstheme="minorHAnsi"/>
          <w:color w:val="000000"/>
          <w:lang w:val="es-ES"/>
        </w:rPr>
        <w:t xml:space="preserve"> </w:t>
      </w:r>
      <w:r w:rsidR="00857393">
        <w:rPr>
          <w:rFonts w:asciiTheme="minorHAnsi" w:hAnsiTheme="minorHAnsi" w:cstheme="minorHAnsi"/>
          <w:color w:val="000000"/>
          <w:lang w:val="es-ES"/>
        </w:rPr>
        <w:t>cm, es decir una mejora de un 52</w:t>
      </w:r>
      <w:r w:rsidRPr="002504C5">
        <w:rPr>
          <w:rFonts w:asciiTheme="minorHAnsi" w:hAnsiTheme="minorHAnsi" w:cstheme="minorHAnsi"/>
          <w:color w:val="000000"/>
          <w:lang w:val="es-ES"/>
        </w:rPr>
        <w:t xml:space="preserve">% en el error absoluto medio.  </w:t>
      </w:r>
    </w:p>
    <w:p w:rsidR="00F96DE9" w:rsidRDefault="00857393" w:rsidP="00F96DE9">
      <w:pPr>
        <w:spacing w:after="200"/>
        <w:ind w:firstLine="708"/>
        <w:jc w:val="both"/>
        <w:rPr>
          <w:rFonts w:asciiTheme="minorHAnsi" w:hAnsiTheme="minorHAnsi" w:cstheme="minorHAnsi"/>
          <w:color w:val="000000"/>
          <w:lang w:val="es-ES"/>
        </w:rPr>
      </w:pPr>
      <w:r>
        <w:rPr>
          <w:rFonts w:asciiTheme="minorHAnsi" w:hAnsiTheme="minorHAnsi" w:cstheme="minorHAnsi"/>
          <w:color w:val="000000"/>
          <w:lang w:val="es-ES"/>
        </w:rPr>
        <w:t>En el grá</w:t>
      </w:r>
      <w:r w:rsidR="00F96DE9" w:rsidRPr="002504C5">
        <w:rPr>
          <w:rFonts w:asciiTheme="minorHAnsi" w:hAnsiTheme="minorHAnsi" w:cstheme="minorHAnsi"/>
          <w:color w:val="000000"/>
          <w:lang w:val="es-ES"/>
        </w:rPr>
        <w:t>fico de líneas se observa como la utilización del clasificador logra un mejor acople entre la línea de predicción (roja) y la línea del valor observado en costa (azul). En cuanto a los  gráficos de dispersión, se nota como la utilización del clasificador permite una disminución marcada de la distancia de todos los puntos con respecto a la línea de ajuste perfecto, dejando en evidencia la disminución del margen de error, entre predicciones y observaciones.</w:t>
      </w:r>
    </w:p>
    <w:p w:rsidR="00FA16F8" w:rsidRPr="00F96DE9" w:rsidRDefault="00FA16F8">
      <w:pPr>
        <w:rPr>
          <w:lang w:val="es-ES"/>
        </w:rPr>
      </w:pPr>
    </w:p>
    <w:sectPr w:rsidR="00FA16F8" w:rsidRPr="00F96DE9" w:rsidSect="00FA16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bany">
    <w:altName w:val="Arial"/>
    <w:charset w:val="00"/>
    <w:family w:val="swiss"/>
    <w:pitch w:val="variable"/>
    <w:sig w:usb0="00000000" w:usb1="00000000" w:usb2="00000000" w:usb3="00000000" w:csb0="00000000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912" w:rsidRPr="008B0111" w:rsidRDefault="00857393">
    <w:pPr>
      <w:pStyle w:val="Header"/>
      <w:rPr>
        <w:rFonts w:asciiTheme="minorHAnsi" w:hAnsiTheme="minorHAnsi" w:cstheme="minorHAnsi"/>
        <w:sz w:val="24"/>
        <w:szCs w:val="24"/>
      </w:rPr>
    </w:pPr>
    <w:r>
      <w:rPr>
        <w:rFonts w:asciiTheme="minorHAnsi" w:hAnsiTheme="minorHAnsi" w:cstheme="minorHAnsi"/>
        <w:sz w:val="24"/>
        <w:szCs w:val="24"/>
      </w:rPr>
      <w:t>Capitulo 4 – Experimentación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96DE9"/>
    <w:rsid w:val="000A202B"/>
    <w:rsid w:val="001109F5"/>
    <w:rsid w:val="002F0AA9"/>
    <w:rsid w:val="003E2C91"/>
    <w:rsid w:val="00566C75"/>
    <w:rsid w:val="006950AA"/>
    <w:rsid w:val="00857393"/>
    <w:rsid w:val="00902E2A"/>
    <w:rsid w:val="00966182"/>
    <w:rsid w:val="00F96DE9"/>
    <w:rsid w:val="00FA16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Heading3">
    <w:name w:val="heading 3"/>
    <w:basedOn w:val="Normal"/>
    <w:next w:val="BodyText"/>
    <w:link w:val="Heading3Char"/>
    <w:qFormat/>
    <w:rsid w:val="00F96DE9"/>
    <w:pPr>
      <w:keepNext/>
      <w:widowControl w:val="0"/>
      <w:tabs>
        <w:tab w:val="num" w:pos="0"/>
      </w:tabs>
      <w:suppressAutoHyphens/>
      <w:spacing w:before="240" w:after="283"/>
      <w:ind w:right="86"/>
      <w:outlineLvl w:val="2"/>
    </w:pPr>
    <w:rPr>
      <w:rFonts w:ascii="Albany" w:eastAsia="HG Mincho Light J" w:hAnsi="Albany" w:cs="Arial Unicode MS"/>
      <w:b/>
      <w:bCs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96DE9"/>
    <w:rPr>
      <w:rFonts w:ascii="Albany" w:eastAsia="HG Mincho Light J" w:hAnsi="Albany" w:cs="Arial Unicode MS"/>
      <w:b/>
      <w:bCs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96DE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DE9"/>
    <w:rPr>
      <w:rFonts w:ascii="Times New Roman" w:eastAsia="Times New Roman" w:hAnsi="Times New Roman" w:cs="Times New Roman"/>
      <w:sz w:val="20"/>
      <w:szCs w:val="20"/>
      <w:lang w:eastAsia="es-ES"/>
    </w:rPr>
  </w:style>
  <w:style w:type="table" w:styleId="TableGrid">
    <w:name w:val="Table Grid"/>
    <w:basedOn w:val="TableNormal"/>
    <w:uiPriority w:val="59"/>
    <w:rsid w:val="00F96DE9"/>
    <w:pPr>
      <w:spacing w:after="0" w:line="240" w:lineRule="auto"/>
    </w:pPr>
    <w:rPr>
      <w:rFonts w:ascii="Calibri" w:eastAsia="Calibri" w:hAnsi="Calibri" w:cs="Times New Roman"/>
      <w:lang w:val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figuras">
    <w:name w:val="estilo figuras"/>
    <w:basedOn w:val="Caption"/>
    <w:link w:val="estilofigurasCar"/>
    <w:qFormat/>
    <w:rsid w:val="00F96DE9"/>
    <w:pPr>
      <w:jc w:val="center"/>
    </w:pPr>
    <w:rPr>
      <w:rFonts w:asciiTheme="minorHAnsi" w:eastAsia="Calibri" w:hAnsiTheme="minorHAnsi" w:cstheme="minorHAnsi"/>
      <w:b w:val="0"/>
      <w:color w:val="auto"/>
      <w:sz w:val="20"/>
      <w:szCs w:val="20"/>
      <w:lang w:eastAsia="en-US"/>
    </w:rPr>
  </w:style>
  <w:style w:type="character" w:customStyle="1" w:styleId="estilofigurasCar">
    <w:name w:val="estilo figuras Car"/>
    <w:basedOn w:val="DefaultParagraphFont"/>
    <w:link w:val="estilofiguras"/>
    <w:rsid w:val="00F96DE9"/>
    <w:rPr>
      <w:rFonts w:eastAsia="Calibri" w:cstheme="minorHAnsi"/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F96DE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96DE9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6DE9"/>
    <w:pPr>
      <w:spacing w:after="200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D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DE9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header" Target="header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steban\workspace\arfgen\docs\Entregas\Informe%20Final\capitulo%204\ultimo\Makapu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steban\workspace\arfgen\docs\Entregas\Informe%20Final\capitulo%204\ultimo\Makapu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steban\workspace\arfgen\docs\Entregas\Informe%20Final\capitulo%204\ultimo\Makapu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steban\workspace\arfgen\docs\Entregas\Informe%20Final\capitulo%204\ultimo\Makapu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s-AR"/>
  <c:chart>
    <c:title>
      <c:tx>
        <c:rich>
          <a:bodyPr/>
          <a:lstStyle/>
          <a:p>
            <a:pPr>
              <a:defRPr/>
            </a:pPr>
            <a:r>
              <a:rPr lang="es-AR" sz="1200" b="0" i="0" baseline="0"/>
              <a:t>Makapuu - Observación Visual/ Wave Watch  III</a:t>
            </a:r>
          </a:p>
        </c:rich>
      </c:tx>
    </c:title>
    <c:plotArea>
      <c:layout>
        <c:manualLayout>
          <c:layoutTarget val="inner"/>
          <c:xMode val="edge"/>
          <c:yMode val="edge"/>
          <c:x val="5.0128971669717602E-2"/>
          <c:y val="0.16285573489051136"/>
          <c:w val="0.91229087688864363"/>
          <c:h val="0.42844667523761953"/>
        </c:manualLayout>
      </c:layout>
      <c:scatterChart>
        <c:scatterStyle val="lineMarker"/>
        <c:ser>
          <c:idx val="0"/>
          <c:order val="0"/>
          <c:tx>
            <c:v>Observacion Visual</c:v>
          </c:tx>
          <c:xVal>
            <c:strRef>
              <c:f>Sheet1!$A$1:$A$64</c:f>
              <c:strCache>
                <c:ptCount val="64"/>
                <c:pt idx="0">
                  <c:v>inst#,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</c:strCache>
            </c:strRef>
          </c:xVal>
          <c:yVal>
            <c:numRef>
              <c:f>Sheet1!$B$1:$B$64</c:f>
              <c:numCache>
                <c:formatCode>General</c:formatCode>
                <c:ptCount val="64"/>
                <c:pt idx="0">
                  <c:v>0</c:v>
                </c:pt>
                <c:pt idx="1">
                  <c:v>1.829</c:v>
                </c:pt>
                <c:pt idx="2">
                  <c:v>2.4379999999999997</c:v>
                </c:pt>
                <c:pt idx="3">
                  <c:v>1.2189999999999999</c:v>
                </c:pt>
                <c:pt idx="4">
                  <c:v>1.829</c:v>
                </c:pt>
                <c:pt idx="5">
                  <c:v>2.4379999999999997</c:v>
                </c:pt>
                <c:pt idx="6">
                  <c:v>1.829</c:v>
                </c:pt>
                <c:pt idx="7">
                  <c:v>1.829</c:v>
                </c:pt>
                <c:pt idx="8">
                  <c:v>1.829</c:v>
                </c:pt>
                <c:pt idx="9">
                  <c:v>1.829</c:v>
                </c:pt>
                <c:pt idx="10">
                  <c:v>1.829</c:v>
                </c:pt>
                <c:pt idx="11">
                  <c:v>1.829</c:v>
                </c:pt>
                <c:pt idx="12">
                  <c:v>0.6100000000000001</c:v>
                </c:pt>
                <c:pt idx="13">
                  <c:v>1.829</c:v>
                </c:pt>
                <c:pt idx="14">
                  <c:v>1.829</c:v>
                </c:pt>
                <c:pt idx="15">
                  <c:v>1.2189999999999999</c:v>
                </c:pt>
                <c:pt idx="16">
                  <c:v>1.829</c:v>
                </c:pt>
                <c:pt idx="17">
                  <c:v>1.829</c:v>
                </c:pt>
                <c:pt idx="18">
                  <c:v>2.4379999999999997</c:v>
                </c:pt>
                <c:pt idx="19">
                  <c:v>1.2189999999999999</c:v>
                </c:pt>
                <c:pt idx="20">
                  <c:v>1.2189999999999999</c:v>
                </c:pt>
                <c:pt idx="21">
                  <c:v>1.2189999999999999</c:v>
                </c:pt>
                <c:pt idx="22">
                  <c:v>1.829</c:v>
                </c:pt>
                <c:pt idx="23">
                  <c:v>1.2189999999999999</c:v>
                </c:pt>
                <c:pt idx="24">
                  <c:v>1.829</c:v>
                </c:pt>
                <c:pt idx="25">
                  <c:v>1.829</c:v>
                </c:pt>
                <c:pt idx="26">
                  <c:v>1.829</c:v>
                </c:pt>
                <c:pt idx="27">
                  <c:v>4.8769999999999998</c:v>
                </c:pt>
                <c:pt idx="28">
                  <c:v>2.4379999999999997</c:v>
                </c:pt>
                <c:pt idx="29">
                  <c:v>2.4379999999999997</c:v>
                </c:pt>
                <c:pt idx="30">
                  <c:v>2.4379999999999997</c:v>
                </c:pt>
                <c:pt idx="31">
                  <c:v>1.2189999999999999</c:v>
                </c:pt>
                <c:pt idx="32">
                  <c:v>8.5339999999999989</c:v>
                </c:pt>
                <c:pt idx="33">
                  <c:v>1.829</c:v>
                </c:pt>
                <c:pt idx="34">
                  <c:v>2.4379999999999997</c:v>
                </c:pt>
                <c:pt idx="35">
                  <c:v>1.829</c:v>
                </c:pt>
                <c:pt idx="36">
                  <c:v>1.2189999999999999</c:v>
                </c:pt>
                <c:pt idx="37">
                  <c:v>1.2189999999999999</c:v>
                </c:pt>
                <c:pt idx="38">
                  <c:v>2.4379999999999997</c:v>
                </c:pt>
                <c:pt idx="39">
                  <c:v>1.829</c:v>
                </c:pt>
                <c:pt idx="40">
                  <c:v>1.829</c:v>
                </c:pt>
                <c:pt idx="41">
                  <c:v>1.2189999999999999</c:v>
                </c:pt>
                <c:pt idx="42">
                  <c:v>1.829</c:v>
                </c:pt>
                <c:pt idx="43">
                  <c:v>3.048</c:v>
                </c:pt>
                <c:pt idx="44">
                  <c:v>1.2189999999999999</c:v>
                </c:pt>
                <c:pt idx="45">
                  <c:v>1.2189999999999999</c:v>
                </c:pt>
                <c:pt idx="46">
                  <c:v>1.829</c:v>
                </c:pt>
                <c:pt idx="47">
                  <c:v>1.829</c:v>
                </c:pt>
                <c:pt idx="48">
                  <c:v>1.2189999999999999</c:v>
                </c:pt>
                <c:pt idx="49">
                  <c:v>1.829</c:v>
                </c:pt>
                <c:pt idx="50">
                  <c:v>1.829</c:v>
                </c:pt>
                <c:pt idx="51">
                  <c:v>3.048</c:v>
                </c:pt>
                <c:pt idx="52">
                  <c:v>5.4859999999999998</c:v>
                </c:pt>
                <c:pt idx="53">
                  <c:v>0.6100000000000001</c:v>
                </c:pt>
                <c:pt idx="54">
                  <c:v>1.829</c:v>
                </c:pt>
                <c:pt idx="55">
                  <c:v>2.4379999999999997</c:v>
                </c:pt>
                <c:pt idx="56">
                  <c:v>3.6579999999999999</c:v>
                </c:pt>
                <c:pt idx="57">
                  <c:v>1.829</c:v>
                </c:pt>
                <c:pt idx="58">
                  <c:v>2.4379999999999997</c:v>
                </c:pt>
                <c:pt idx="59">
                  <c:v>4.2669999999999995</c:v>
                </c:pt>
                <c:pt idx="60">
                  <c:v>1.2189999999999999</c:v>
                </c:pt>
                <c:pt idx="61">
                  <c:v>3.048</c:v>
                </c:pt>
                <c:pt idx="62">
                  <c:v>1.2189999999999999</c:v>
                </c:pt>
                <c:pt idx="63">
                  <c:v>3.048</c:v>
                </c:pt>
              </c:numCache>
            </c:numRef>
          </c:yVal>
        </c:ser>
        <c:ser>
          <c:idx val="1"/>
          <c:order val="1"/>
          <c:tx>
            <c:v>Prediccion Wave Watch 3</c:v>
          </c:tx>
          <c:spPr>
            <a:ln w="22225"/>
          </c:spPr>
          <c:marker>
            <c:symbol val="diamond"/>
            <c:size val="4"/>
          </c:marker>
          <c:xVal>
            <c:strRef>
              <c:f>Sheet1!$A$1:$A$64</c:f>
              <c:strCache>
                <c:ptCount val="64"/>
                <c:pt idx="0">
                  <c:v>inst#,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</c:strCache>
            </c:strRef>
          </c:xVal>
          <c:yVal>
            <c:numRef>
              <c:f>Sheet1!$E$1:$E$64</c:f>
              <c:numCache>
                <c:formatCode>General</c:formatCode>
                <c:ptCount val="64"/>
                <c:pt idx="0">
                  <c:v>0</c:v>
                </c:pt>
                <c:pt idx="1">
                  <c:v>1.8900000000000001</c:v>
                </c:pt>
                <c:pt idx="2">
                  <c:v>3.51</c:v>
                </c:pt>
                <c:pt idx="3">
                  <c:v>4.5999999999999996</c:v>
                </c:pt>
                <c:pt idx="4">
                  <c:v>2.3899999999999997</c:v>
                </c:pt>
                <c:pt idx="5">
                  <c:v>2.42</c:v>
                </c:pt>
                <c:pt idx="6">
                  <c:v>1.74</c:v>
                </c:pt>
                <c:pt idx="7">
                  <c:v>2</c:v>
                </c:pt>
                <c:pt idx="8">
                  <c:v>2.21</c:v>
                </c:pt>
                <c:pt idx="9">
                  <c:v>2.94</c:v>
                </c:pt>
                <c:pt idx="10">
                  <c:v>1.83</c:v>
                </c:pt>
                <c:pt idx="11">
                  <c:v>3.14</c:v>
                </c:pt>
                <c:pt idx="12">
                  <c:v>1.53</c:v>
                </c:pt>
                <c:pt idx="13">
                  <c:v>2.17</c:v>
                </c:pt>
                <c:pt idx="14">
                  <c:v>2.54</c:v>
                </c:pt>
                <c:pt idx="15">
                  <c:v>3.64</c:v>
                </c:pt>
                <c:pt idx="16">
                  <c:v>2.0699999999999998</c:v>
                </c:pt>
                <c:pt idx="17">
                  <c:v>1.55</c:v>
                </c:pt>
                <c:pt idx="18">
                  <c:v>1.85</c:v>
                </c:pt>
                <c:pt idx="19">
                  <c:v>1.4</c:v>
                </c:pt>
                <c:pt idx="20">
                  <c:v>3.2600000000000002</c:v>
                </c:pt>
                <c:pt idx="21">
                  <c:v>3.3099999999999996</c:v>
                </c:pt>
                <c:pt idx="22">
                  <c:v>1.87</c:v>
                </c:pt>
                <c:pt idx="23">
                  <c:v>1.57</c:v>
                </c:pt>
                <c:pt idx="24">
                  <c:v>2.98</c:v>
                </c:pt>
                <c:pt idx="25">
                  <c:v>1.78</c:v>
                </c:pt>
                <c:pt idx="26">
                  <c:v>2.13</c:v>
                </c:pt>
                <c:pt idx="27">
                  <c:v>3.7600000000000002</c:v>
                </c:pt>
                <c:pt idx="28">
                  <c:v>2.2999999999999998</c:v>
                </c:pt>
                <c:pt idx="29">
                  <c:v>2.84</c:v>
                </c:pt>
                <c:pt idx="30">
                  <c:v>2.4099999999999997</c:v>
                </c:pt>
                <c:pt idx="31">
                  <c:v>1.56</c:v>
                </c:pt>
                <c:pt idx="32">
                  <c:v>6.6499999999999995</c:v>
                </c:pt>
                <c:pt idx="33">
                  <c:v>3.19</c:v>
                </c:pt>
                <c:pt idx="34">
                  <c:v>3.3499999999999996</c:v>
                </c:pt>
                <c:pt idx="35">
                  <c:v>2.84</c:v>
                </c:pt>
                <c:pt idx="36">
                  <c:v>2.52</c:v>
                </c:pt>
                <c:pt idx="37">
                  <c:v>2.7</c:v>
                </c:pt>
                <c:pt idx="38">
                  <c:v>1.78</c:v>
                </c:pt>
                <c:pt idx="39">
                  <c:v>2.2999999999999998</c:v>
                </c:pt>
                <c:pt idx="40">
                  <c:v>2.4099999999999997</c:v>
                </c:pt>
                <c:pt idx="41">
                  <c:v>3.3099999999999996</c:v>
                </c:pt>
                <c:pt idx="42">
                  <c:v>1.9600000000000002</c:v>
                </c:pt>
                <c:pt idx="43">
                  <c:v>2.6</c:v>
                </c:pt>
                <c:pt idx="44">
                  <c:v>1.6900000000000002</c:v>
                </c:pt>
                <c:pt idx="45">
                  <c:v>2.29</c:v>
                </c:pt>
                <c:pt idx="46">
                  <c:v>4.46</c:v>
                </c:pt>
                <c:pt idx="47">
                  <c:v>1.58</c:v>
                </c:pt>
                <c:pt idx="48">
                  <c:v>2.0699999999999998</c:v>
                </c:pt>
                <c:pt idx="49">
                  <c:v>5.95</c:v>
                </c:pt>
                <c:pt idx="50">
                  <c:v>2.2999999999999998</c:v>
                </c:pt>
                <c:pt idx="51">
                  <c:v>3.64</c:v>
                </c:pt>
                <c:pt idx="52">
                  <c:v>5.45</c:v>
                </c:pt>
                <c:pt idx="53">
                  <c:v>1.8800000000000001</c:v>
                </c:pt>
                <c:pt idx="54">
                  <c:v>2.9899999999999998</c:v>
                </c:pt>
                <c:pt idx="55">
                  <c:v>2.11</c:v>
                </c:pt>
                <c:pt idx="56">
                  <c:v>3.22</c:v>
                </c:pt>
                <c:pt idx="57">
                  <c:v>2.17</c:v>
                </c:pt>
                <c:pt idx="58">
                  <c:v>6.1899999999999995</c:v>
                </c:pt>
                <c:pt idx="59">
                  <c:v>4.34</c:v>
                </c:pt>
                <c:pt idx="60">
                  <c:v>2.88</c:v>
                </c:pt>
                <c:pt idx="61">
                  <c:v>2.8</c:v>
                </c:pt>
                <c:pt idx="62">
                  <c:v>2.25</c:v>
                </c:pt>
                <c:pt idx="63">
                  <c:v>3.54</c:v>
                </c:pt>
              </c:numCache>
            </c:numRef>
          </c:yVal>
        </c:ser>
        <c:axId val="66552192"/>
        <c:axId val="66554112"/>
      </c:scatterChart>
      <c:valAx>
        <c:axId val="6655219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AR"/>
                  <a:t>Día de observación</a:t>
                </a:r>
              </a:p>
            </c:rich>
          </c:tx>
        </c:title>
        <c:numFmt formatCode="#,##0;\-#,##0" sourceLinked="0"/>
        <c:majorTickMark val="none"/>
        <c:tickLblPos val="nextTo"/>
        <c:txPr>
          <a:bodyPr/>
          <a:lstStyle/>
          <a:p>
            <a:pPr>
              <a:defRPr baseline="0"/>
            </a:pPr>
            <a:endParaRPr lang="es-AR"/>
          </a:p>
        </c:txPr>
        <c:crossAx val="66554112"/>
        <c:crosses val="autoZero"/>
        <c:crossBetween val="midCat"/>
        <c:majorUnit val="5"/>
      </c:valAx>
      <c:valAx>
        <c:axId val="6655411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s-AR"/>
                  <a:t>Altura de ola (mts.)</a:t>
                </a:r>
              </a:p>
            </c:rich>
          </c:tx>
          <c:layout>
            <c:manualLayout>
              <c:xMode val="edge"/>
              <c:yMode val="edge"/>
              <c:x val="3.0155252103157048E-3"/>
              <c:y val="0.29042414159710983"/>
            </c:manualLayout>
          </c:layout>
        </c:title>
        <c:numFmt formatCode="General" sourceLinked="1"/>
        <c:majorTickMark val="none"/>
        <c:tickLblPos val="nextTo"/>
        <c:crossAx val="66552192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4133589770230268"/>
          <c:y val="0.71233526043915962"/>
          <c:w val="0.24201434347572337"/>
          <c:h val="0.16317756172635517"/>
        </c:manualLayout>
      </c:layout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AR"/>
  <c:chart>
    <c:title>
      <c:tx>
        <c:rich>
          <a:bodyPr/>
          <a:lstStyle/>
          <a:p>
            <a:pPr>
              <a:defRPr/>
            </a:pPr>
            <a:r>
              <a:rPr lang="es-AR" sz="1200" b="0" i="0" baseline="0"/>
              <a:t>Makapuu- Observación Visual/ Maquina de Soporte Vectorial</a:t>
            </a:r>
          </a:p>
        </c:rich>
      </c:tx>
    </c:title>
    <c:plotArea>
      <c:layout>
        <c:manualLayout>
          <c:layoutTarget val="inner"/>
          <c:xMode val="edge"/>
          <c:yMode val="edge"/>
          <c:x val="5.0128971669717602E-2"/>
          <c:y val="0.16285573489051136"/>
          <c:w val="0.91229087688864363"/>
          <c:h val="0.42844667523761926"/>
        </c:manualLayout>
      </c:layout>
      <c:scatterChart>
        <c:scatterStyle val="lineMarker"/>
        <c:ser>
          <c:idx val="0"/>
          <c:order val="0"/>
          <c:tx>
            <c:v>Observacion Visual</c:v>
          </c:tx>
          <c:xVal>
            <c:strRef>
              <c:f>Sheet1!$A$1:$A$64</c:f>
              <c:strCache>
                <c:ptCount val="64"/>
                <c:pt idx="0">
                  <c:v>inst#,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</c:strCache>
            </c:strRef>
          </c:xVal>
          <c:yVal>
            <c:numRef>
              <c:f>Sheet1!$B$1:$B$64</c:f>
              <c:numCache>
                <c:formatCode>General</c:formatCode>
                <c:ptCount val="64"/>
                <c:pt idx="0">
                  <c:v>0</c:v>
                </c:pt>
                <c:pt idx="1">
                  <c:v>1.829</c:v>
                </c:pt>
                <c:pt idx="2">
                  <c:v>2.4379999999999997</c:v>
                </c:pt>
                <c:pt idx="3">
                  <c:v>1.2189999999999999</c:v>
                </c:pt>
                <c:pt idx="4">
                  <c:v>1.829</c:v>
                </c:pt>
                <c:pt idx="5">
                  <c:v>2.4379999999999997</c:v>
                </c:pt>
                <c:pt idx="6">
                  <c:v>1.829</c:v>
                </c:pt>
                <c:pt idx="7">
                  <c:v>1.829</c:v>
                </c:pt>
                <c:pt idx="8">
                  <c:v>1.829</c:v>
                </c:pt>
                <c:pt idx="9">
                  <c:v>1.829</c:v>
                </c:pt>
                <c:pt idx="10">
                  <c:v>1.829</c:v>
                </c:pt>
                <c:pt idx="11">
                  <c:v>1.829</c:v>
                </c:pt>
                <c:pt idx="12">
                  <c:v>0.6100000000000001</c:v>
                </c:pt>
                <c:pt idx="13">
                  <c:v>1.829</c:v>
                </c:pt>
                <c:pt idx="14">
                  <c:v>1.829</c:v>
                </c:pt>
                <c:pt idx="15">
                  <c:v>1.2189999999999999</c:v>
                </c:pt>
                <c:pt idx="16">
                  <c:v>1.829</c:v>
                </c:pt>
                <c:pt idx="17">
                  <c:v>1.829</c:v>
                </c:pt>
                <c:pt idx="18">
                  <c:v>2.4379999999999997</c:v>
                </c:pt>
                <c:pt idx="19">
                  <c:v>1.2189999999999999</c:v>
                </c:pt>
                <c:pt idx="20">
                  <c:v>1.2189999999999999</c:v>
                </c:pt>
                <c:pt idx="21">
                  <c:v>1.2189999999999999</c:v>
                </c:pt>
                <c:pt idx="22">
                  <c:v>1.829</c:v>
                </c:pt>
                <c:pt idx="23">
                  <c:v>1.2189999999999999</c:v>
                </c:pt>
                <c:pt idx="24">
                  <c:v>1.829</c:v>
                </c:pt>
                <c:pt idx="25">
                  <c:v>1.829</c:v>
                </c:pt>
                <c:pt idx="26">
                  <c:v>1.829</c:v>
                </c:pt>
                <c:pt idx="27">
                  <c:v>4.8769999999999998</c:v>
                </c:pt>
                <c:pt idx="28">
                  <c:v>2.4379999999999997</c:v>
                </c:pt>
                <c:pt idx="29">
                  <c:v>2.4379999999999997</c:v>
                </c:pt>
                <c:pt idx="30">
                  <c:v>2.4379999999999997</c:v>
                </c:pt>
                <c:pt idx="31">
                  <c:v>1.2189999999999999</c:v>
                </c:pt>
                <c:pt idx="32">
                  <c:v>8.5339999999999989</c:v>
                </c:pt>
                <c:pt idx="33">
                  <c:v>1.829</c:v>
                </c:pt>
                <c:pt idx="34">
                  <c:v>2.4379999999999997</c:v>
                </c:pt>
                <c:pt idx="35">
                  <c:v>1.829</c:v>
                </c:pt>
                <c:pt idx="36">
                  <c:v>1.2189999999999999</c:v>
                </c:pt>
                <c:pt idx="37">
                  <c:v>1.2189999999999999</c:v>
                </c:pt>
                <c:pt idx="38">
                  <c:v>2.4379999999999997</c:v>
                </c:pt>
                <c:pt idx="39">
                  <c:v>1.829</c:v>
                </c:pt>
                <c:pt idx="40">
                  <c:v>1.829</c:v>
                </c:pt>
                <c:pt idx="41">
                  <c:v>1.2189999999999999</c:v>
                </c:pt>
                <c:pt idx="42">
                  <c:v>1.829</c:v>
                </c:pt>
                <c:pt idx="43">
                  <c:v>3.048</c:v>
                </c:pt>
                <c:pt idx="44">
                  <c:v>1.2189999999999999</c:v>
                </c:pt>
                <c:pt idx="45">
                  <c:v>1.2189999999999999</c:v>
                </c:pt>
                <c:pt idx="46">
                  <c:v>1.829</c:v>
                </c:pt>
                <c:pt idx="47">
                  <c:v>1.829</c:v>
                </c:pt>
                <c:pt idx="48">
                  <c:v>1.2189999999999999</c:v>
                </c:pt>
                <c:pt idx="49">
                  <c:v>1.829</c:v>
                </c:pt>
                <c:pt idx="50">
                  <c:v>1.829</c:v>
                </c:pt>
                <c:pt idx="51">
                  <c:v>3.048</c:v>
                </c:pt>
                <c:pt idx="52">
                  <c:v>5.4859999999999998</c:v>
                </c:pt>
                <c:pt idx="53">
                  <c:v>0.6100000000000001</c:v>
                </c:pt>
                <c:pt idx="54">
                  <c:v>1.829</c:v>
                </c:pt>
                <c:pt idx="55">
                  <c:v>2.4379999999999997</c:v>
                </c:pt>
                <c:pt idx="56">
                  <c:v>3.6579999999999999</c:v>
                </c:pt>
                <c:pt idx="57">
                  <c:v>1.829</c:v>
                </c:pt>
                <c:pt idx="58">
                  <c:v>2.4379999999999997</c:v>
                </c:pt>
                <c:pt idx="59">
                  <c:v>4.2669999999999995</c:v>
                </c:pt>
                <c:pt idx="60">
                  <c:v>1.2189999999999999</c:v>
                </c:pt>
                <c:pt idx="61">
                  <c:v>3.048</c:v>
                </c:pt>
                <c:pt idx="62">
                  <c:v>1.2189999999999999</c:v>
                </c:pt>
                <c:pt idx="63">
                  <c:v>3.048</c:v>
                </c:pt>
              </c:numCache>
            </c:numRef>
          </c:yVal>
        </c:ser>
        <c:ser>
          <c:idx val="1"/>
          <c:order val="1"/>
          <c:tx>
            <c:v>Prediccion Clasificador</c:v>
          </c:tx>
          <c:spPr>
            <a:ln w="22225"/>
          </c:spPr>
          <c:marker>
            <c:symbol val="diamond"/>
            <c:size val="4"/>
          </c:marker>
          <c:xVal>
            <c:strRef>
              <c:f>Sheet1!$A$1:$A$64</c:f>
              <c:strCache>
                <c:ptCount val="64"/>
                <c:pt idx="0">
                  <c:v>inst#,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</c:strCache>
            </c:strRef>
          </c:xVal>
          <c:yVal>
            <c:numRef>
              <c:f>Sheet1!$C$1:$C$64</c:f>
              <c:numCache>
                <c:formatCode>General</c:formatCode>
                <c:ptCount val="64"/>
                <c:pt idx="0">
                  <c:v>0</c:v>
                </c:pt>
                <c:pt idx="1">
                  <c:v>1.7449999999999999</c:v>
                </c:pt>
                <c:pt idx="2">
                  <c:v>3.4739999999999998</c:v>
                </c:pt>
                <c:pt idx="3">
                  <c:v>1.28</c:v>
                </c:pt>
                <c:pt idx="4">
                  <c:v>1.6850000000000001</c:v>
                </c:pt>
                <c:pt idx="5">
                  <c:v>1.911</c:v>
                </c:pt>
                <c:pt idx="6">
                  <c:v>1.5549999999999997</c:v>
                </c:pt>
                <c:pt idx="7">
                  <c:v>1.726</c:v>
                </c:pt>
                <c:pt idx="8">
                  <c:v>1.9780000000000002</c:v>
                </c:pt>
                <c:pt idx="9">
                  <c:v>2.7909999999999999</c:v>
                </c:pt>
                <c:pt idx="10">
                  <c:v>1.8009999999999997</c:v>
                </c:pt>
                <c:pt idx="11">
                  <c:v>1.5129999999999997</c:v>
                </c:pt>
                <c:pt idx="12">
                  <c:v>1.2729999999999997</c:v>
                </c:pt>
                <c:pt idx="13">
                  <c:v>1.85</c:v>
                </c:pt>
                <c:pt idx="14">
                  <c:v>1.9630000000000001</c:v>
                </c:pt>
                <c:pt idx="15">
                  <c:v>1.621</c:v>
                </c:pt>
                <c:pt idx="16">
                  <c:v>1.9580000000000002</c:v>
                </c:pt>
                <c:pt idx="17">
                  <c:v>1.6759999999999997</c:v>
                </c:pt>
                <c:pt idx="18">
                  <c:v>1.5920000000000001</c:v>
                </c:pt>
                <c:pt idx="19">
                  <c:v>1.494</c:v>
                </c:pt>
                <c:pt idx="20">
                  <c:v>1.7829999999999997</c:v>
                </c:pt>
                <c:pt idx="21">
                  <c:v>1.702</c:v>
                </c:pt>
                <c:pt idx="22">
                  <c:v>0.80400000000000005</c:v>
                </c:pt>
                <c:pt idx="23">
                  <c:v>1.325</c:v>
                </c:pt>
                <c:pt idx="24">
                  <c:v>2.86</c:v>
                </c:pt>
                <c:pt idx="25">
                  <c:v>1.262</c:v>
                </c:pt>
                <c:pt idx="26">
                  <c:v>1.901</c:v>
                </c:pt>
                <c:pt idx="27">
                  <c:v>3.9529999999999994</c:v>
                </c:pt>
                <c:pt idx="28">
                  <c:v>2.1019999999999999</c:v>
                </c:pt>
                <c:pt idx="29">
                  <c:v>1.8380000000000001</c:v>
                </c:pt>
                <c:pt idx="30">
                  <c:v>2.0649999999999999</c:v>
                </c:pt>
                <c:pt idx="31">
                  <c:v>1.34</c:v>
                </c:pt>
                <c:pt idx="32">
                  <c:v>7.1499999999999995</c:v>
                </c:pt>
                <c:pt idx="33">
                  <c:v>2.3259999999999996</c:v>
                </c:pt>
                <c:pt idx="34">
                  <c:v>1.526</c:v>
                </c:pt>
                <c:pt idx="35">
                  <c:v>1.5049999999999997</c:v>
                </c:pt>
                <c:pt idx="36">
                  <c:v>1.9330000000000001</c:v>
                </c:pt>
                <c:pt idx="37">
                  <c:v>1.9580000000000002</c:v>
                </c:pt>
                <c:pt idx="38">
                  <c:v>1.45</c:v>
                </c:pt>
                <c:pt idx="39">
                  <c:v>1.8169999999999997</c:v>
                </c:pt>
                <c:pt idx="40">
                  <c:v>2.097</c:v>
                </c:pt>
                <c:pt idx="41">
                  <c:v>1.7389999999999999</c:v>
                </c:pt>
                <c:pt idx="42">
                  <c:v>1.8080000000000001</c:v>
                </c:pt>
                <c:pt idx="43">
                  <c:v>2.1259999999999999</c:v>
                </c:pt>
                <c:pt idx="44">
                  <c:v>1.6819999999999997</c:v>
                </c:pt>
                <c:pt idx="45">
                  <c:v>1.9600000000000002</c:v>
                </c:pt>
                <c:pt idx="46">
                  <c:v>1.3740000000000001</c:v>
                </c:pt>
                <c:pt idx="47">
                  <c:v>0.97700000000000009</c:v>
                </c:pt>
                <c:pt idx="48">
                  <c:v>2.1559999999999997</c:v>
                </c:pt>
                <c:pt idx="49">
                  <c:v>1.792</c:v>
                </c:pt>
                <c:pt idx="50">
                  <c:v>1.518</c:v>
                </c:pt>
                <c:pt idx="51">
                  <c:v>3.6080000000000001</c:v>
                </c:pt>
                <c:pt idx="52">
                  <c:v>6.153999999999999</c:v>
                </c:pt>
                <c:pt idx="53">
                  <c:v>1.444</c:v>
                </c:pt>
                <c:pt idx="54">
                  <c:v>2.7490000000000001</c:v>
                </c:pt>
                <c:pt idx="55">
                  <c:v>1.9570000000000001</c:v>
                </c:pt>
                <c:pt idx="56">
                  <c:v>1.8560000000000001</c:v>
                </c:pt>
                <c:pt idx="57">
                  <c:v>1.831</c:v>
                </c:pt>
                <c:pt idx="58">
                  <c:v>1.6519999999999997</c:v>
                </c:pt>
                <c:pt idx="59">
                  <c:v>4.9160000000000004</c:v>
                </c:pt>
                <c:pt idx="60">
                  <c:v>1.623</c:v>
                </c:pt>
                <c:pt idx="61">
                  <c:v>2.3609999999999998</c:v>
                </c:pt>
                <c:pt idx="62">
                  <c:v>1.921</c:v>
                </c:pt>
                <c:pt idx="63">
                  <c:v>2.3019999999999996</c:v>
                </c:pt>
              </c:numCache>
            </c:numRef>
          </c:yVal>
        </c:ser>
        <c:axId val="66790528"/>
        <c:axId val="66792832"/>
      </c:scatterChart>
      <c:valAx>
        <c:axId val="6679052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AR"/>
                  <a:t>Día de observación</a:t>
                </a:r>
              </a:p>
            </c:rich>
          </c:tx>
        </c:title>
        <c:numFmt formatCode="#,##0;\-#,##0" sourceLinked="0"/>
        <c:majorTickMark val="none"/>
        <c:tickLblPos val="nextTo"/>
        <c:txPr>
          <a:bodyPr/>
          <a:lstStyle/>
          <a:p>
            <a:pPr>
              <a:defRPr baseline="0"/>
            </a:pPr>
            <a:endParaRPr lang="es-AR"/>
          </a:p>
        </c:txPr>
        <c:crossAx val="66792832"/>
        <c:crosses val="autoZero"/>
        <c:crossBetween val="midCat"/>
        <c:majorUnit val="5"/>
      </c:valAx>
      <c:valAx>
        <c:axId val="6679283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s-AR"/>
                  <a:t>Altura de ola (mts.)</a:t>
                </a:r>
              </a:p>
            </c:rich>
          </c:tx>
          <c:layout>
            <c:manualLayout>
              <c:xMode val="edge"/>
              <c:yMode val="edge"/>
              <c:x val="3.0155252103157039E-3"/>
              <c:y val="0.29042414159710972"/>
            </c:manualLayout>
          </c:layout>
        </c:title>
        <c:numFmt formatCode="General" sourceLinked="1"/>
        <c:majorTickMark val="none"/>
        <c:tickLblPos val="nextTo"/>
        <c:crossAx val="66790528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4133589770230268"/>
          <c:y val="0.71233526043915962"/>
          <c:w val="0.24201434347572326"/>
          <c:h val="0.16317756172635517"/>
        </c:manualLayout>
      </c:layout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AR"/>
  <c:chart>
    <c:autoTitleDeleted val="1"/>
    <c:plotArea>
      <c:layout>
        <c:manualLayout>
          <c:layoutTarget val="inner"/>
          <c:xMode val="edge"/>
          <c:yMode val="edge"/>
          <c:x val="0.10048349150099888"/>
          <c:y val="4.1238940589567841E-2"/>
          <c:w val="0.87042860499284569"/>
          <c:h val="0.75935138208448194"/>
        </c:manualLayout>
      </c:layout>
      <c:scatterChart>
        <c:scatterStyle val="lineMarker"/>
        <c:ser>
          <c:idx val="2"/>
          <c:order val="2"/>
          <c:spPr>
            <a:ln w="34925">
              <a:solidFill>
                <a:srgbClr val="9BBB59">
                  <a:lumMod val="60000"/>
                  <a:lumOff val="40000"/>
                </a:srgbClr>
              </a:solidFill>
            </a:ln>
          </c:spPr>
          <c:xVal>
            <c:numRef>
              <c:f>Sheet1!$Z$157:$Z$178</c:f>
            </c:numRef>
          </c:xVal>
          <c:yVal>
            <c:numRef>
              <c:f>Sheet1!$Z$157:$Z$178</c:f>
            </c:numRef>
          </c:yVal>
        </c:ser>
        <c:ser>
          <c:idx val="0"/>
          <c:order val="0"/>
          <c:tx>
            <c:v>Observacion Visual</c:v>
          </c:tx>
          <c:spPr>
            <a:ln w="28575">
              <a:noFill/>
            </a:ln>
          </c:spPr>
          <c:xVal>
            <c:numRef>
              <c:f>[Makapu.xlsx]Sheet1!$E$2:$E$65</c:f>
              <c:numCache>
                <c:formatCode>General</c:formatCode>
                <c:ptCount val="64"/>
                <c:pt idx="0">
                  <c:v>1.8900000000000001</c:v>
                </c:pt>
                <c:pt idx="1">
                  <c:v>3.51</c:v>
                </c:pt>
                <c:pt idx="2">
                  <c:v>4.5999999999999996</c:v>
                </c:pt>
                <c:pt idx="3">
                  <c:v>2.3899999999999997</c:v>
                </c:pt>
                <c:pt idx="4">
                  <c:v>2.42</c:v>
                </c:pt>
                <c:pt idx="5">
                  <c:v>1.74</c:v>
                </c:pt>
                <c:pt idx="6">
                  <c:v>2</c:v>
                </c:pt>
                <c:pt idx="7">
                  <c:v>2.21</c:v>
                </c:pt>
                <c:pt idx="8">
                  <c:v>2.94</c:v>
                </c:pt>
                <c:pt idx="9">
                  <c:v>1.83</c:v>
                </c:pt>
                <c:pt idx="10">
                  <c:v>3.14</c:v>
                </c:pt>
                <c:pt idx="11">
                  <c:v>1.53</c:v>
                </c:pt>
                <c:pt idx="12">
                  <c:v>2.17</c:v>
                </c:pt>
                <c:pt idx="13">
                  <c:v>2.54</c:v>
                </c:pt>
                <c:pt idx="14">
                  <c:v>3.64</c:v>
                </c:pt>
                <c:pt idx="15">
                  <c:v>2.0699999999999998</c:v>
                </c:pt>
                <c:pt idx="16">
                  <c:v>1.55</c:v>
                </c:pt>
                <c:pt idx="17">
                  <c:v>1.85</c:v>
                </c:pt>
                <c:pt idx="18">
                  <c:v>1.4</c:v>
                </c:pt>
                <c:pt idx="19">
                  <c:v>3.2600000000000002</c:v>
                </c:pt>
                <c:pt idx="20">
                  <c:v>3.3099999999999992</c:v>
                </c:pt>
                <c:pt idx="21">
                  <c:v>1.87</c:v>
                </c:pt>
                <c:pt idx="22">
                  <c:v>1.57</c:v>
                </c:pt>
                <c:pt idx="23">
                  <c:v>2.98</c:v>
                </c:pt>
                <c:pt idx="24">
                  <c:v>1.78</c:v>
                </c:pt>
                <c:pt idx="25">
                  <c:v>2.13</c:v>
                </c:pt>
                <c:pt idx="26">
                  <c:v>3.7600000000000002</c:v>
                </c:pt>
                <c:pt idx="27">
                  <c:v>2.2999999999999998</c:v>
                </c:pt>
                <c:pt idx="28">
                  <c:v>2.84</c:v>
                </c:pt>
                <c:pt idx="29">
                  <c:v>2.4099999999999997</c:v>
                </c:pt>
                <c:pt idx="30">
                  <c:v>1.56</c:v>
                </c:pt>
                <c:pt idx="31">
                  <c:v>6.6499999999999995</c:v>
                </c:pt>
                <c:pt idx="32">
                  <c:v>3.19</c:v>
                </c:pt>
                <c:pt idx="33">
                  <c:v>3.3499999999999992</c:v>
                </c:pt>
                <c:pt idx="34">
                  <c:v>2.84</c:v>
                </c:pt>
                <c:pt idx="35">
                  <c:v>2.52</c:v>
                </c:pt>
                <c:pt idx="36">
                  <c:v>2.7</c:v>
                </c:pt>
                <c:pt idx="37">
                  <c:v>1.78</c:v>
                </c:pt>
                <c:pt idx="38">
                  <c:v>2.2999999999999998</c:v>
                </c:pt>
                <c:pt idx="39">
                  <c:v>2.4099999999999997</c:v>
                </c:pt>
                <c:pt idx="40">
                  <c:v>3.3099999999999992</c:v>
                </c:pt>
                <c:pt idx="41">
                  <c:v>1.9600000000000004</c:v>
                </c:pt>
                <c:pt idx="42">
                  <c:v>2.6</c:v>
                </c:pt>
                <c:pt idx="43">
                  <c:v>1.6900000000000004</c:v>
                </c:pt>
                <c:pt idx="44">
                  <c:v>2.29</c:v>
                </c:pt>
                <c:pt idx="45">
                  <c:v>4.46</c:v>
                </c:pt>
                <c:pt idx="46">
                  <c:v>1.58</c:v>
                </c:pt>
                <c:pt idx="47">
                  <c:v>2.0699999999999998</c:v>
                </c:pt>
                <c:pt idx="48">
                  <c:v>5.95</c:v>
                </c:pt>
                <c:pt idx="49">
                  <c:v>2.2999999999999998</c:v>
                </c:pt>
                <c:pt idx="50">
                  <c:v>3.64</c:v>
                </c:pt>
                <c:pt idx="51">
                  <c:v>5.45</c:v>
                </c:pt>
                <c:pt idx="52">
                  <c:v>1.8800000000000001</c:v>
                </c:pt>
                <c:pt idx="53">
                  <c:v>2.9899999999999998</c:v>
                </c:pt>
                <c:pt idx="54">
                  <c:v>2.11</c:v>
                </c:pt>
                <c:pt idx="55">
                  <c:v>3.22</c:v>
                </c:pt>
                <c:pt idx="56">
                  <c:v>2.17</c:v>
                </c:pt>
                <c:pt idx="57">
                  <c:v>6.1899999999999995</c:v>
                </c:pt>
                <c:pt idx="58">
                  <c:v>4.34</c:v>
                </c:pt>
                <c:pt idx="59">
                  <c:v>2.88</c:v>
                </c:pt>
                <c:pt idx="60">
                  <c:v>2.8</c:v>
                </c:pt>
                <c:pt idx="61">
                  <c:v>2.25</c:v>
                </c:pt>
                <c:pt idx="62">
                  <c:v>3.54</c:v>
                </c:pt>
                <c:pt idx="63">
                  <c:v>2.3099999999999992</c:v>
                </c:pt>
              </c:numCache>
            </c:numRef>
          </c:xVal>
          <c:yVal>
            <c:numRef>
              <c:f>[Makapu.xlsx]Sheet1!$B$2:$B$65</c:f>
              <c:numCache>
                <c:formatCode>General</c:formatCode>
                <c:ptCount val="64"/>
                <c:pt idx="0">
                  <c:v>1.829</c:v>
                </c:pt>
                <c:pt idx="1">
                  <c:v>2.4379999999999997</c:v>
                </c:pt>
                <c:pt idx="2">
                  <c:v>1.2189999999999996</c:v>
                </c:pt>
                <c:pt idx="3">
                  <c:v>1.829</c:v>
                </c:pt>
                <c:pt idx="4">
                  <c:v>2.4379999999999997</c:v>
                </c:pt>
                <c:pt idx="5">
                  <c:v>1.829</c:v>
                </c:pt>
                <c:pt idx="6">
                  <c:v>1.829</c:v>
                </c:pt>
                <c:pt idx="7">
                  <c:v>1.829</c:v>
                </c:pt>
                <c:pt idx="8">
                  <c:v>1.829</c:v>
                </c:pt>
                <c:pt idx="9">
                  <c:v>1.829</c:v>
                </c:pt>
                <c:pt idx="10">
                  <c:v>1.829</c:v>
                </c:pt>
                <c:pt idx="11">
                  <c:v>0.61000000000000021</c:v>
                </c:pt>
                <c:pt idx="12">
                  <c:v>1.829</c:v>
                </c:pt>
                <c:pt idx="13">
                  <c:v>1.829</c:v>
                </c:pt>
                <c:pt idx="14">
                  <c:v>1.2189999999999996</c:v>
                </c:pt>
                <c:pt idx="15">
                  <c:v>1.829</c:v>
                </c:pt>
                <c:pt idx="16">
                  <c:v>1.829</c:v>
                </c:pt>
                <c:pt idx="17">
                  <c:v>2.4379999999999997</c:v>
                </c:pt>
                <c:pt idx="18">
                  <c:v>1.2189999999999996</c:v>
                </c:pt>
                <c:pt idx="19">
                  <c:v>1.2189999999999996</c:v>
                </c:pt>
                <c:pt idx="20">
                  <c:v>1.2189999999999996</c:v>
                </c:pt>
                <c:pt idx="21">
                  <c:v>1.829</c:v>
                </c:pt>
                <c:pt idx="22">
                  <c:v>1.2189999999999996</c:v>
                </c:pt>
                <c:pt idx="23">
                  <c:v>1.829</c:v>
                </c:pt>
                <c:pt idx="24">
                  <c:v>1.829</c:v>
                </c:pt>
                <c:pt idx="25">
                  <c:v>1.829</c:v>
                </c:pt>
                <c:pt idx="26">
                  <c:v>4.8769999999999998</c:v>
                </c:pt>
                <c:pt idx="27">
                  <c:v>2.4379999999999997</c:v>
                </c:pt>
                <c:pt idx="28">
                  <c:v>2.4379999999999997</c:v>
                </c:pt>
                <c:pt idx="29">
                  <c:v>2.4379999999999997</c:v>
                </c:pt>
                <c:pt idx="30">
                  <c:v>1.2189999999999996</c:v>
                </c:pt>
                <c:pt idx="31">
                  <c:v>8.5340000000000025</c:v>
                </c:pt>
                <c:pt idx="32">
                  <c:v>1.829</c:v>
                </c:pt>
                <c:pt idx="33">
                  <c:v>2.4379999999999997</c:v>
                </c:pt>
                <c:pt idx="34">
                  <c:v>1.829</c:v>
                </c:pt>
                <c:pt idx="35">
                  <c:v>1.2189999999999996</c:v>
                </c:pt>
                <c:pt idx="36">
                  <c:v>1.2189999999999996</c:v>
                </c:pt>
                <c:pt idx="37">
                  <c:v>2.4379999999999997</c:v>
                </c:pt>
                <c:pt idx="38">
                  <c:v>1.829</c:v>
                </c:pt>
                <c:pt idx="39">
                  <c:v>1.829</c:v>
                </c:pt>
                <c:pt idx="40">
                  <c:v>1.2189999999999996</c:v>
                </c:pt>
                <c:pt idx="41">
                  <c:v>1.829</c:v>
                </c:pt>
                <c:pt idx="42">
                  <c:v>3.048</c:v>
                </c:pt>
                <c:pt idx="43">
                  <c:v>1.2189999999999996</c:v>
                </c:pt>
                <c:pt idx="44">
                  <c:v>1.2189999999999996</c:v>
                </c:pt>
                <c:pt idx="45">
                  <c:v>1.829</c:v>
                </c:pt>
                <c:pt idx="46">
                  <c:v>1.829</c:v>
                </c:pt>
                <c:pt idx="47">
                  <c:v>1.2189999999999996</c:v>
                </c:pt>
                <c:pt idx="48">
                  <c:v>1.829</c:v>
                </c:pt>
                <c:pt idx="49">
                  <c:v>1.829</c:v>
                </c:pt>
                <c:pt idx="50">
                  <c:v>3.048</c:v>
                </c:pt>
                <c:pt idx="51">
                  <c:v>5.4859999999999998</c:v>
                </c:pt>
                <c:pt idx="52">
                  <c:v>0.61000000000000021</c:v>
                </c:pt>
                <c:pt idx="53">
                  <c:v>1.829</c:v>
                </c:pt>
                <c:pt idx="54">
                  <c:v>2.4379999999999997</c:v>
                </c:pt>
                <c:pt idx="55">
                  <c:v>3.6579999999999999</c:v>
                </c:pt>
                <c:pt idx="56">
                  <c:v>1.829</c:v>
                </c:pt>
                <c:pt idx="57">
                  <c:v>2.4379999999999997</c:v>
                </c:pt>
                <c:pt idx="58">
                  <c:v>4.2669999999999995</c:v>
                </c:pt>
                <c:pt idx="59">
                  <c:v>1.2189999999999996</c:v>
                </c:pt>
                <c:pt idx="60">
                  <c:v>3.048</c:v>
                </c:pt>
                <c:pt idx="61">
                  <c:v>1.2189999999999996</c:v>
                </c:pt>
                <c:pt idx="62">
                  <c:v>3.048</c:v>
                </c:pt>
                <c:pt idx="63">
                  <c:v>1.829</c:v>
                </c:pt>
              </c:numCache>
            </c:numRef>
          </c:yVal>
        </c:ser>
        <c:ser>
          <c:idx val="1"/>
          <c:order val="1"/>
          <c:spPr>
            <a:ln w="34925">
              <a:solidFill>
                <a:srgbClr val="9BBB59">
                  <a:lumMod val="60000"/>
                  <a:lumOff val="40000"/>
                </a:srgbClr>
              </a:solidFill>
            </a:ln>
          </c:spPr>
          <c:marker>
            <c:symbol val="none"/>
          </c:marker>
          <c:xVal>
            <c:numRef>
              <c:f>[Makapu.xlsx]Sheet1!$S$28:$S$38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[Makapu.xlsx]Sheet1!$S$28:$S$38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yVal>
        </c:ser>
        <c:axId val="95258112"/>
        <c:axId val="95263744"/>
      </c:scatterChart>
      <c:valAx>
        <c:axId val="95258112"/>
        <c:scaling>
          <c:orientation val="minMax"/>
          <c:max val="8"/>
        </c:scaling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s-AR"/>
                  <a:t>Wave</a:t>
                </a:r>
                <a:r>
                  <a:rPr lang="es-AR" baseline="0"/>
                  <a:t>Watch III (Altura en mts.)</a:t>
                </a:r>
                <a:endParaRPr lang="es-AR"/>
              </a:p>
            </c:rich>
          </c:tx>
        </c:title>
        <c:numFmt formatCode="#,##0;\-#,##0" sourceLinked="0"/>
        <c:tickLblPos val="nextTo"/>
        <c:txPr>
          <a:bodyPr/>
          <a:lstStyle/>
          <a:p>
            <a:pPr>
              <a:defRPr baseline="0"/>
            </a:pPr>
            <a:endParaRPr lang="es-AR"/>
          </a:p>
        </c:txPr>
        <c:crossAx val="95263744"/>
        <c:crosses val="autoZero"/>
        <c:crossBetween val="midCat"/>
        <c:majorUnit val="2"/>
      </c:valAx>
      <c:valAx>
        <c:axId val="95263744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s-AR"/>
                  <a:t>Observación Visual </a:t>
                </a:r>
                <a:r>
                  <a:rPr lang="es-AR" sz="1000" b="1" i="0" u="none" strike="noStrike" baseline="0"/>
                  <a:t>(Altura en mts.)</a:t>
                </a:r>
                <a:endParaRPr lang="es-AR"/>
              </a:p>
            </c:rich>
          </c:tx>
        </c:title>
        <c:numFmt formatCode="General" sourceLinked="1"/>
        <c:tickLblPos val="nextTo"/>
        <c:crossAx val="95258112"/>
        <c:crosses val="autoZero"/>
        <c:crossBetween val="midCat"/>
      </c:valAx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s-AR"/>
  <c:chart>
    <c:autoTitleDeleted val="1"/>
    <c:plotArea>
      <c:layout>
        <c:manualLayout>
          <c:layoutTarget val="inner"/>
          <c:xMode val="edge"/>
          <c:yMode val="edge"/>
          <c:x val="0.10048349150099888"/>
          <c:y val="4.1238940589567855E-2"/>
          <c:w val="0.87042860499284569"/>
          <c:h val="0.75935138208448172"/>
        </c:manualLayout>
      </c:layout>
      <c:scatterChart>
        <c:scatterStyle val="lineMarker"/>
        <c:ser>
          <c:idx val="2"/>
          <c:order val="2"/>
          <c:spPr>
            <a:ln w="34925">
              <a:solidFill>
                <a:srgbClr val="9BBB59">
                  <a:lumMod val="60000"/>
                  <a:lumOff val="40000"/>
                </a:srgbClr>
              </a:solidFill>
            </a:ln>
          </c:spPr>
          <c:xVal>
            <c:numRef>
              <c:f>Sheet1!$Z$157:$Z$178</c:f>
              <c:numCache>
                <c:formatCode>General</c:formatCode>
                <c:ptCount val="22"/>
              </c:numCache>
            </c:numRef>
          </c:xVal>
          <c:yVal>
            <c:numRef>
              <c:f>Sheet1!$Z$157:$Z$178</c:f>
              <c:numCache>
                <c:formatCode>General</c:formatCode>
                <c:ptCount val="22"/>
              </c:numCache>
            </c:numRef>
          </c:yVal>
        </c:ser>
        <c:ser>
          <c:idx val="0"/>
          <c:order val="0"/>
          <c:tx>
            <c:v>Observacion Visual</c:v>
          </c:tx>
          <c:spPr>
            <a:ln w="28575">
              <a:noFill/>
            </a:ln>
          </c:spPr>
          <c:xVal>
            <c:numRef>
              <c:f>Sheet1!$C$2:$C$65</c:f>
              <c:numCache>
                <c:formatCode>General</c:formatCode>
                <c:ptCount val="64"/>
                <c:pt idx="0">
                  <c:v>1.7449999999999999</c:v>
                </c:pt>
                <c:pt idx="1">
                  <c:v>3.4739999999999998</c:v>
                </c:pt>
                <c:pt idx="2">
                  <c:v>1.28</c:v>
                </c:pt>
                <c:pt idx="3">
                  <c:v>1.6850000000000001</c:v>
                </c:pt>
                <c:pt idx="4">
                  <c:v>1.911</c:v>
                </c:pt>
                <c:pt idx="5">
                  <c:v>1.5549999999999997</c:v>
                </c:pt>
                <c:pt idx="6">
                  <c:v>1.726</c:v>
                </c:pt>
                <c:pt idx="7">
                  <c:v>1.9780000000000002</c:v>
                </c:pt>
                <c:pt idx="8">
                  <c:v>2.7909999999999999</c:v>
                </c:pt>
                <c:pt idx="9">
                  <c:v>1.8009999999999997</c:v>
                </c:pt>
                <c:pt idx="10">
                  <c:v>1.5129999999999997</c:v>
                </c:pt>
                <c:pt idx="11">
                  <c:v>1.2729999999999997</c:v>
                </c:pt>
                <c:pt idx="12">
                  <c:v>1.85</c:v>
                </c:pt>
                <c:pt idx="13">
                  <c:v>1.9630000000000001</c:v>
                </c:pt>
                <c:pt idx="14">
                  <c:v>1.621</c:v>
                </c:pt>
                <c:pt idx="15">
                  <c:v>1.9580000000000002</c:v>
                </c:pt>
                <c:pt idx="16">
                  <c:v>1.6759999999999997</c:v>
                </c:pt>
                <c:pt idx="17">
                  <c:v>1.5920000000000001</c:v>
                </c:pt>
                <c:pt idx="18">
                  <c:v>1.494</c:v>
                </c:pt>
                <c:pt idx="19">
                  <c:v>1.7829999999999997</c:v>
                </c:pt>
                <c:pt idx="20">
                  <c:v>1.702</c:v>
                </c:pt>
                <c:pt idx="21">
                  <c:v>0.80400000000000005</c:v>
                </c:pt>
                <c:pt idx="22">
                  <c:v>1.325</c:v>
                </c:pt>
                <c:pt idx="23">
                  <c:v>2.86</c:v>
                </c:pt>
                <c:pt idx="24">
                  <c:v>1.262</c:v>
                </c:pt>
                <c:pt idx="25">
                  <c:v>1.901</c:v>
                </c:pt>
                <c:pt idx="26">
                  <c:v>3.9529999999999994</c:v>
                </c:pt>
                <c:pt idx="27">
                  <c:v>2.1019999999999999</c:v>
                </c:pt>
                <c:pt idx="28">
                  <c:v>1.8380000000000001</c:v>
                </c:pt>
                <c:pt idx="29">
                  <c:v>2.0649999999999999</c:v>
                </c:pt>
                <c:pt idx="30">
                  <c:v>1.34</c:v>
                </c:pt>
                <c:pt idx="31">
                  <c:v>7.1499999999999995</c:v>
                </c:pt>
                <c:pt idx="32">
                  <c:v>2.3259999999999996</c:v>
                </c:pt>
                <c:pt idx="33">
                  <c:v>1.526</c:v>
                </c:pt>
                <c:pt idx="34">
                  <c:v>1.5049999999999997</c:v>
                </c:pt>
                <c:pt idx="35">
                  <c:v>1.9330000000000001</c:v>
                </c:pt>
                <c:pt idx="36">
                  <c:v>1.9580000000000002</c:v>
                </c:pt>
                <c:pt idx="37">
                  <c:v>1.45</c:v>
                </c:pt>
                <c:pt idx="38">
                  <c:v>1.8169999999999997</c:v>
                </c:pt>
                <c:pt idx="39">
                  <c:v>2.097</c:v>
                </c:pt>
                <c:pt idx="40">
                  <c:v>1.7389999999999999</c:v>
                </c:pt>
                <c:pt idx="41">
                  <c:v>1.8080000000000001</c:v>
                </c:pt>
                <c:pt idx="42">
                  <c:v>2.1259999999999999</c:v>
                </c:pt>
                <c:pt idx="43">
                  <c:v>1.6819999999999997</c:v>
                </c:pt>
                <c:pt idx="44">
                  <c:v>1.9600000000000002</c:v>
                </c:pt>
                <c:pt idx="45">
                  <c:v>1.3740000000000001</c:v>
                </c:pt>
                <c:pt idx="46">
                  <c:v>0.97700000000000009</c:v>
                </c:pt>
                <c:pt idx="47">
                  <c:v>2.1559999999999997</c:v>
                </c:pt>
                <c:pt idx="48">
                  <c:v>1.792</c:v>
                </c:pt>
                <c:pt idx="49">
                  <c:v>1.518</c:v>
                </c:pt>
                <c:pt idx="50">
                  <c:v>3.6080000000000001</c:v>
                </c:pt>
                <c:pt idx="51">
                  <c:v>6.153999999999999</c:v>
                </c:pt>
                <c:pt idx="52">
                  <c:v>1.444</c:v>
                </c:pt>
                <c:pt idx="53">
                  <c:v>2.7490000000000001</c:v>
                </c:pt>
                <c:pt idx="54">
                  <c:v>1.9570000000000001</c:v>
                </c:pt>
                <c:pt idx="55">
                  <c:v>1.8560000000000001</c:v>
                </c:pt>
                <c:pt idx="56">
                  <c:v>1.831</c:v>
                </c:pt>
                <c:pt idx="57">
                  <c:v>1.6519999999999997</c:v>
                </c:pt>
                <c:pt idx="58">
                  <c:v>4.9160000000000004</c:v>
                </c:pt>
                <c:pt idx="59">
                  <c:v>1.623</c:v>
                </c:pt>
                <c:pt idx="60">
                  <c:v>2.3609999999999998</c:v>
                </c:pt>
                <c:pt idx="61">
                  <c:v>1.921</c:v>
                </c:pt>
                <c:pt idx="62">
                  <c:v>2.3019999999999996</c:v>
                </c:pt>
                <c:pt idx="63">
                  <c:v>2.1269999999999998</c:v>
                </c:pt>
              </c:numCache>
            </c:numRef>
          </c:xVal>
          <c:yVal>
            <c:numRef>
              <c:f>Sheet1!$B$2:$B$65</c:f>
              <c:numCache>
                <c:formatCode>General</c:formatCode>
                <c:ptCount val="64"/>
                <c:pt idx="0">
                  <c:v>1.829</c:v>
                </c:pt>
                <c:pt idx="1">
                  <c:v>2.4379999999999997</c:v>
                </c:pt>
                <c:pt idx="2">
                  <c:v>1.2189999999999999</c:v>
                </c:pt>
                <c:pt idx="3">
                  <c:v>1.829</c:v>
                </c:pt>
                <c:pt idx="4">
                  <c:v>2.4379999999999997</c:v>
                </c:pt>
                <c:pt idx="5">
                  <c:v>1.829</c:v>
                </c:pt>
                <c:pt idx="6">
                  <c:v>1.829</c:v>
                </c:pt>
                <c:pt idx="7">
                  <c:v>1.829</c:v>
                </c:pt>
                <c:pt idx="8">
                  <c:v>1.829</c:v>
                </c:pt>
                <c:pt idx="9">
                  <c:v>1.829</c:v>
                </c:pt>
                <c:pt idx="10">
                  <c:v>1.829</c:v>
                </c:pt>
                <c:pt idx="11">
                  <c:v>0.6100000000000001</c:v>
                </c:pt>
                <c:pt idx="12">
                  <c:v>1.829</c:v>
                </c:pt>
                <c:pt idx="13">
                  <c:v>1.829</c:v>
                </c:pt>
                <c:pt idx="14">
                  <c:v>1.2189999999999999</c:v>
                </c:pt>
                <c:pt idx="15">
                  <c:v>1.829</c:v>
                </c:pt>
                <c:pt idx="16">
                  <c:v>1.829</c:v>
                </c:pt>
                <c:pt idx="17">
                  <c:v>2.4379999999999997</c:v>
                </c:pt>
                <c:pt idx="18">
                  <c:v>1.2189999999999999</c:v>
                </c:pt>
                <c:pt idx="19">
                  <c:v>1.2189999999999999</c:v>
                </c:pt>
                <c:pt idx="20">
                  <c:v>1.2189999999999999</c:v>
                </c:pt>
                <c:pt idx="21">
                  <c:v>1.829</c:v>
                </c:pt>
                <c:pt idx="22">
                  <c:v>1.2189999999999999</c:v>
                </c:pt>
                <c:pt idx="23">
                  <c:v>1.829</c:v>
                </c:pt>
                <c:pt idx="24">
                  <c:v>1.829</c:v>
                </c:pt>
                <c:pt idx="25">
                  <c:v>1.829</c:v>
                </c:pt>
                <c:pt idx="26">
                  <c:v>4.8769999999999998</c:v>
                </c:pt>
                <c:pt idx="27">
                  <c:v>2.4379999999999997</c:v>
                </c:pt>
                <c:pt idx="28">
                  <c:v>2.4379999999999997</c:v>
                </c:pt>
                <c:pt idx="29">
                  <c:v>2.4379999999999997</c:v>
                </c:pt>
                <c:pt idx="30">
                  <c:v>1.2189999999999999</c:v>
                </c:pt>
                <c:pt idx="31">
                  <c:v>8.5339999999999989</c:v>
                </c:pt>
                <c:pt idx="32">
                  <c:v>1.829</c:v>
                </c:pt>
                <c:pt idx="33">
                  <c:v>2.4379999999999997</c:v>
                </c:pt>
                <c:pt idx="34">
                  <c:v>1.829</c:v>
                </c:pt>
                <c:pt idx="35">
                  <c:v>1.2189999999999999</c:v>
                </c:pt>
                <c:pt idx="36">
                  <c:v>1.2189999999999999</c:v>
                </c:pt>
                <c:pt idx="37">
                  <c:v>2.4379999999999997</c:v>
                </c:pt>
                <c:pt idx="38">
                  <c:v>1.829</c:v>
                </c:pt>
                <c:pt idx="39">
                  <c:v>1.829</c:v>
                </c:pt>
                <c:pt idx="40">
                  <c:v>1.2189999999999999</c:v>
                </c:pt>
                <c:pt idx="41">
                  <c:v>1.829</c:v>
                </c:pt>
                <c:pt idx="42">
                  <c:v>3.048</c:v>
                </c:pt>
                <c:pt idx="43">
                  <c:v>1.2189999999999999</c:v>
                </c:pt>
                <c:pt idx="44">
                  <c:v>1.2189999999999999</c:v>
                </c:pt>
                <c:pt idx="45">
                  <c:v>1.829</c:v>
                </c:pt>
                <c:pt idx="46">
                  <c:v>1.829</c:v>
                </c:pt>
                <c:pt idx="47">
                  <c:v>1.2189999999999999</c:v>
                </c:pt>
                <c:pt idx="48">
                  <c:v>1.829</c:v>
                </c:pt>
                <c:pt idx="49">
                  <c:v>1.829</c:v>
                </c:pt>
                <c:pt idx="50">
                  <c:v>3.048</c:v>
                </c:pt>
                <c:pt idx="51">
                  <c:v>5.4859999999999998</c:v>
                </c:pt>
                <c:pt idx="52">
                  <c:v>0.6100000000000001</c:v>
                </c:pt>
                <c:pt idx="53">
                  <c:v>1.829</c:v>
                </c:pt>
                <c:pt idx="54">
                  <c:v>2.4379999999999997</c:v>
                </c:pt>
                <c:pt idx="55">
                  <c:v>3.6579999999999999</c:v>
                </c:pt>
                <c:pt idx="56">
                  <c:v>1.829</c:v>
                </c:pt>
                <c:pt idx="57">
                  <c:v>2.4379999999999997</c:v>
                </c:pt>
                <c:pt idx="58">
                  <c:v>4.2669999999999995</c:v>
                </c:pt>
                <c:pt idx="59">
                  <c:v>1.2189999999999999</c:v>
                </c:pt>
                <c:pt idx="60">
                  <c:v>3.048</c:v>
                </c:pt>
                <c:pt idx="61">
                  <c:v>1.2189999999999999</c:v>
                </c:pt>
                <c:pt idx="62">
                  <c:v>3.048</c:v>
                </c:pt>
                <c:pt idx="63">
                  <c:v>1.829</c:v>
                </c:pt>
              </c:numCache>
            </c:numRef>
          </c:yVal>
        </c:ser>
        <c:ser>
          <c:idx val="1"/>
          <c:order val="1"/>
          <c:spPr>
            <a:ln w="34925">
              <a:solidFill>
                <a:srgbClr val="9BBB59">
                  <a:lumMod val="60000"/>
                  <a:lumOff val="40000"/>
                </a:srgbClr>
              </a:solidFill>
            </a:ln>
          </c:spPr>
          <c:marker>
            <c:symbol val="none"/>
          </c:marker>
          <c:xVal>
            <c:numRef>
              <c:f>Sheet1!$S$28:$S$38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Sheet1!$S$28:$S$38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yVal>
        </c:ser>
        <c:axId val="100715136"/>
        <c:axId val="100770560"/>
      </c:scatterChart>
      <c:valAx>
        <c:axId val="100715136"/>
        <c:scaling>
          <c:orientation val="minMax"/>
          <c:max val="8"/>
        </c:scaling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s-AR"/>
                  <a:t>Predicción</a:t>
                </a:r>
                <a:r>
                  <a:rPr lang="es-AR" baseline="0"/>
                  <a:t> SVM </a:t>
                </a:r>
                <a:r>
                  <a:rPr lang="es-AR" sz="1000" b="1" i="0" u="none" strike="noStrike" baseline="0"/>
                  <a:t>(Altura en mts.)</a:t>
                </a:r>
                <a:endParaRPr lang="es-AR" baseline="0"/>
              </a:p>
            </c:rich>
          </c:tx>
        </c:title>
        <c:numFmt formatCode="#,##0;\-#,##0" sourceLinked="0"/>
        <c:tickLblPos val="nextTo"/>
        <c:txPr>
          <a:bodyPr/>
          <a:lstStyle/>
          <a:p>
            <a:pPr>
              <a:defRPr baseline="0"/>
            </a:pPr>
            <a:endParaRPr lang="es-AR"/>
          </a:p>
        </c:txPr>
        <c:crossAx val="100770560"/>
        <c:crosses val="autoZero"/>
        <c:crossBetween val="midCat"/>
        <c:majorUnit val="2"/>
      </c:valAx>
      <c:valAx>
        <c:axId val="100770560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s-AR"/>
                  <a:t>Observación Visual </a:t>
                </a:r>
                <a:r>
                  <a:rPr lang="es-AR" sz="1000" b="1" i="0" u="none" strike="noStrike" baseline="0"/>
                  <a:t>(Altura en mts.)</a:t>
                </a:r>
                <a:endParaRPr lang="es-AR"/>
              </a:p>
            </c:rich>
          </c:tx>
        </c:title>
        <c:numFmt formatCode="General" sourceLinked="1"/>
        <c:tickLblPos val="nextTo"/>
        <c:crossAx val="100715136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399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</cp:lastModifiedBy>
  <cp:revision>2</cp:revision>
  <dcterms:created xsi:type="dcterms:W3CDTF">2010-05-21T22:04:00Z</dcterms:created>
  <dcterms:modified xsi:type="dcterms:W3CDTF">2010-05-21T22:59:00Z</dcterms:modified>
</cp:coreProperties>
</file>