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BD" w:rsidRPr="00A72453" w:rsidRDefault="00A72453" w:rsidP="006B55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Comparación </w:t>
      </w:r>
      <w:proofErr w:type="spellStart"/>
      <w:r>
        <w:rPr>
          <w:b/>
          <w:sz w:val="24"/>
          <w:szCs w:val="24"/>
        </w:rPr>
        <w:t>WaveWatch</w:t>
      </w:r>
      <w:proofErr w:type="spellEnd"/>
      <w:r>
        <w:rPr>
          <w:b/>
          <w:sz w:val="24"/>
          <w:szCs w:val="24"/>
        </w:rPr>
        <w:t xml:space="preserve"> III - Clasificadores</w:t>
      </w:r>
    </w:p>
    <w:p w:rsidR="006B55F1" w:rsidRDefault="006B55F1" w:rsidP="006B55F1">
      <w:r>
        <w:tab/>
        <w:t xml:space="preserve">Mediante los clasificadores obtenidos en el punto anterior es posible mejorar la predicción de la altura de ola del modelo </w:t>
      </w:r>
      <w:proofErr w:type="spellStart"/>
      <w:r>
        <w:t>WaveWatch</w:t>
      </w:r>
      <w:proofErr w:type="spellEnd"/>
      <w:r>
        <w:t xml:space="preserve"> III. A continuación se realiza un análisis </w:t>
      </w:r>
      <w:r w:rsidR="00A72453">
        <w:t>comparando</w:t>
      </w:r>
      <w:r>
        <w:t xml:space="preserve"> los rendimientos obtenidos de ambos sistemas de predicción, para las diferentes playas estudiadas.</w:t>
      </w:r>
      <w:r w:rsidR="00A72453">
        <w:t xml:space="preserve"> e utilizan las medidas de </w:t>
      </w:r>
      <w:proofErr w:type="spellStart"/>
      <w:r w:rsidR="00A72453">
        <w:t>correlacion</w:t>
      </w:r>
      <w:proofErr w:type="spellEnd"/>
      <w:r w:rsidR="00A72453">
        <w:t xml:space="preserve"> y error absoluto medio(MAE) para realizar las comparaciones.</w:t>
      </w:r>
    </w:p>
    <w:p w:rsidR="00A72453" w:rsidRDefault="00A72453" w:rsidP="00A72453">
      <w:r>
        <w:tab/>
        <w:t xml:space="preserve">La </w:t>
      </w:r>
      <w:proofErr w:type="spellStart"/>
      <w:r>
        <w:t>correlacion</w:t>
      </w:r>
      <w:proofErr w:type="spellEnd"/>
      <w:r>
        <w:t xml:space="preserve"> y MAE del sistema </w:t>
      </w:r>
      <w:proofErr w:type="spellStart"/>
      <w:r>
        <w:t>Wavewatch</w:t>
      </w:r>
      <w:proofErr w:type="spellEnd"/>
      <w:r>
        <w:t xml:space="preserve"> III se obtuvieron utilizando el valor de altura predicho por el modelo WW3 en el punto</w:t>
      </w:r>
      <w:r w:rsidR="00E01302">
        <w:t>,</w:t>
      </w:r>
      <w:r w:rsidR="00E01302" w:rsidRPr="00E01302">
        <w:t xml:space="preserve"> </w:t>
      </w:r>
      <w:r w:rsidR="00E01302">
        <w:t>del modelo,</w:t>
      </w:r>
      <w:r>
        <w:t xml:space="preserve"> mas cercando a la costa y el valor de altura reportado sobre la costa. Mientras que la </w:t>
      </w:r>
      <w:proofErr w:type="spellStart"/>
      <w:r>
        <w:t>correlacion</w:t>
      </w:r>
      <w:proofErr w:type="spellEnd"/>
      <w:r>
        <w:t xml:space="preserve"> y MAE del clasificador se obtuvieron a partir del valor de altura predicho por el clasificador y el valor de altura reportado sobre la costa.  </w:t>
      </w:r>
    </w:p>
    <w:p w:rsidR="006B55F1" w:rsidRPr="00A72453" w:rsidRDefault="006B55F1">
      <w:pPr>
        <w:rPr>
          <w:b/>
          <w:sz w:val="24"/>
          <w:szCs w:val="24"/>
        </w:rPr>
      </w:pPr>
      <w:r w:rsidRPr="00A72453">
        <w:rPr>
          <w:b/>
          <w:sz w:val="24"/>
          <w:szCs w:val="24"/>
        </w:rPr>
        <w:t>North Shore</w:t>
      </w:r>
    </w:p>
    <w:p w:rsidR="00A72453" w:rsidRDefault="00205A2E">
      <w:r>
        <w:tab/>
      </w:r>
      <w:r w:rsidR="00053ED0">
        <w:t xml:space="preserve">En las </w:t>
      </w:r>
      <w:r w:rsidR="00A72453">
        <w:t>tablas</w:t>
      </w:r>
      <w:r w:rsidR="00053ED0">
        <w:t xml:space="preserve"> 1.2 y 1.3 se muestran la </w:t>
      </w:r>
      <w:proofErr w:type="spellStart"/>
      <w:r w:rsidR="00053ED0">
        <w:t>correlacion</w:t>
      </w:r>
      <w:proofErr w:type="spellEnd"/>
      <w:r w:rsidR="00053ED0">
        <w:t xml:space="preserve"> y el error absoluto promedio resultante de la </w:t>
      </w:r>
      <w:proofErr w:type="spellStart"/>
      <w:r w:rsidR="00053ED0">
        <w:t>evaluacion</w:t>
      </w:r>
      <w:proofErr w:type="spellEnd"/>
      <w:r w:rsidR="00053ED0">
        <w:t xml:space="preserve"> para el WW3 y el clasificador</w:t>
      </w:r>
      <w:r w:rsidR="00E01302">
        <w:t xml:space="preserve"> para la playa </w:t>
      </w:r>
      <w:r w:rsidR="00E01302" w:rsidRPr="00E01302">
        <w:rPr>
          <w:i/>
        </w:rPr>
        <w:t>North Shore</w:t>
      </w:r>
      <w:r w:rsidR="00053ED0">
        <w:t>.</w:t>
      </w:r>
    </w:p>
    <w:tbl>
      <w:tblPr>
        <w:tblStyle w:val="TableGrid"/>
        <w:tblW w:w="0" w:type="auto"/>
        <w:tblLook w:val="04A0"/>
      </w:tblPr>
      <w:tblGrid>
        <w:gridCol w:w="4219"/>
        <w:gridCol w:w="4759"/>
      </w:tblGrid>
      <w:tr w:rsidR="00BD26CE" w:rsidTr="00A72453">
        <w:tc>
          <w:tcPr>
            <w:tcW w:w="4219" w:type="dxa"/>
            <w:shd w:val="clear" w:color="auto" w:fill="D9D9D9" w:themeFill="background1" w:themeFillShade="D9"/>
          </w:tcPr>
          <w:p w:rsidR="00BD26CE" w:rsidRDefault="00BD26CE" w:rsidP="00EB2EFE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Correlacion WW3/ObsVisual</w:t>
            </w:r>
          </w:p>
        </w:tc>
        <w:tc>
          <w:tcPr>
            <w:tcW w:w="4759" w:type="dxa"/>
            <w:shd w:val="clear" w:color="auto" w:fill="D9D9D9" w:themeFill="background1" w:themeFillShade="D9"/>
          </w:tcPr>
          <w:p w:rsidR="00BD26CE" w:rsidRDefault="00BD26CE" w:rsidP="00BD26CE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Correlacion Clasificador/ObsVisual</w:t>
            </w:r>
          </w:p>
        </w:tc>
      </w:tr>
      <w:tr w:rsidR="00BD26CE" w:rsidTr="00BD26CE">
        <w:tc>
          <w:tcPr>
            <w:tcW w:w="4219" w:type="dxa"/>
          </w:tcPr>
          <w:p w:rsidR="00BD26CE" w:rsidRPr="00BD26CE" w:rsidRDefault="00BD26CE" w:rsidP="00EB2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4759" w:type="dxa"/>
          </w:tcPr>
          <w:p w:rsidR="00BD26CE" w:rsidRPr="00BD26CE" w:rsidRDefault="00BD26CE" w:rsidP="00EB2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</w:tr>
    </w:tbl>
    <w:p w:rsidR="00B66906" w:rsidRDefault="00E01302" w:rsidP="00E01302">
      <w:pPr>
        <w:jc w:val="center"/>
        <w:rPr>
          <w:noProof/>
          <w:lang w:val="es-ES_tradnl"/>
        </w:rPr>
      </w:pPr>
      <w:r>
        <w:rPr>
          <w:noProof/>
          <w:lang w:val="es-ES_tradnl"/>
        </w:rPr>
        <w:t>Tabla 1.2</w:t>
      </w:r>
    </w:p>
    <w:tbl>
      <w:tblPr>
        <w:tblStyle w:val="TableGrid"/>
        <w:tblW w:w="0" w:type="auto"/>
        <w:tblLook w:val="04A0"/>
      </w:tblPr>
      <w:tblGrid>
        <w:gridCol w:w="4219"/>
        <w:gridCol w:w="4759"/>
      </w:tblGrid>
      <w:tr w:rsidR="00BD26CE" w:rsidTr="00A72453">
        <w:trPr>
          <w:trHeight w:val="378"/>
        </w:trPr>
        <w:tc>
          <w:tcPr>
            <w:tcW w:w="4219" w:type="dxa"/>
            <w:shd w:val="clear" w:color="auto" w:fill="D9D9D9" w:themeFill="background1" w:themeFillShade="D9"/>
          </w:tcPr>
          <w:p w:rsidR="00BD26CE" w:rsidRDefault="00A72453" w:rsidP="00381C37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MAE </w:t>
            </w:r>
            <w:r w:rsidR="00BD26CE">
              <w:rPr>
                <w:noProof/>
                <w:lang w:val="es-ES_tradnl"/>
              </w:rPr>
              <w:t>WW3/ObsVisual</w:t>
            </w:r>
          </w:p>
        </w:tc>
        <w:tc>
          <w:tcPr>
            <w:tcW w:w="4759" w:type="dxa"/>
            <w:shd w:val="clear" w:color="auto" w:fill="D9D9D9" w:themeFill="background1" w:themeFillShade="D9"/>
          </w:tcPr>
          <w:p w:rsidR="00BD26CE" w:rsidRDefault="00A72453" w:rsidP="00381C37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MAE </w:t>
            </w:r>
            <w:r w:rsidR="00BD26CE">
              <w:rPr>
                <w:noProof/>
                <w:lang w:val="es-ES_tradnl"/>
              </w:rPr>
              <w:t>Clasificador/ObsVisual</w:t>
            </w:r>
          </w:p>
        </w:tc>
      </w:tr>
      <w:tr w:rsidR="00BD26CE" w:rsidTr="00BD26CE">
        <w:tc>
          <w:tcPr>
            <w:tcW w:w="4219" w:type="dxa"/>
          </w:tcPr>
          <w:p w:rsidR="00BD26CE" w:rsidRPr="00BD26CE" w:rsidRDefault="00BD26CE" w:rsidP="00381C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</w:t>
            </w:r>
          </w:p>
        </w:tc>
        <w:tc>
          <w:tcPr>
            <w:tcW w:w="4759" w:type="dxa"/>
          </w:tcPr>
          <w:p w:rsidR="00BD26CE" w:rsidRPr="00BD26CE" w:rsidRDefault="00BD26CE" w:rsidP="00381C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</w:t>
            </w:r>
          </w:p>
        </w:tc>
      </w:tr>
    </w:tbl>
    <w:p w:rsidR="00E01302" w:rsidRDefault="00E01302" w:rsidP="00E01302">
      <w:pPr>
        <w:jc w:val="center"/>
        <w:rPr>
          <w:noProof/>
          <w:lang w:val="es-ES_tradnl"/>
        </w:rPr>
      </w:pPr>
      <w:r>
        <w:rPr>
          <w:noProof/>
          <w:lang w:val="es-ES_tradnl"/>
        </w:rPr>
        <w:t>Tabla 1.3</w:t>
      </w:r>
    </w:p>
    <w:p w:rsidR="007E0A7C" w:rsidRDefault="007E0A7C" w:rsidP="00EB2EFE">
      <w:pPr>
        <w:rPr>
          <w:noProof/>
          <w:lang w:val="es-ES_tradnl"/>
        </w:rPr>
      </w:pPr>
      <w:r>
        <w:rPr>
          <w:noProof/>
          <w:lang w:val="es-ES_tradnl"/>
        </w:rPr>
        <w:tab/>
      </w:r>
      <w:r w:rsidR="00205A2E">
        <w:rPr>
          <w:noProof/>
          <w:lang w:val="es-ES_tradnl"/>
        </w:rPr>
        <w:t>En l</w:t>
      </w:r>
      <w:r w:rsidR="005A3612">
        <w:rPr>
          <w:noProof/>
          <w:lang w:val="es-ES_tradnl"/>
        </w:rPr>
        <w:t>as figuras</w:t>
      </w:r>
      <w:r w:rsidR="00205A2E">
        <w:rPr>
          <w:noProof/>
          <w:lang w:val="es-ES_tradnl"/>
        </w:rPr>
        <w:t xml:space="preserve">, </w:t>
      </w:r>
      <w:r w:rsidR="005A3612">
        <w:rPr>
          <w:noProof/>
          <w:lang w:val="es-ES_tradnl"/>
        </w:rPr>
        <w:t xml:space="preserve">se grafican </w:t>
      </w:r>
      <w:r w:rsidR="00205A2E">
        <w:rPr>
          <w:noProof/>
          <w:lang w:val="es-ES_tradnl"/>
        </w:rPr>
        <w:t>el valor de altura predich</w:t>
      </w:r>
      <w:r w:rsidR="005A3612">
        <w:rPr>
          <w:noProof/>
          <w:lang w:val="es-ES_tradnl"/>
        </w:rPr>
        <w:t>o por cada uno de los sistemas junto con</w:t>
      </w:r>
      <w:r w:rsidR="00205A2E">
        <w:rPr>
          <w:noProof/>
          <w:lang w:val="es-ES_tradnl"/>
        </w:rPr>
        <w:t xml:space="preserve"> el valor verdadero de altura reportado. </w:t>
      </w:r>
      <w:r>
        <w:rPr>
          <w:lang w:val="es-ES_tradnl"/>
        </w:rPr>
        <w:t xml:space="preserve">Claramente se puede apreciar </w:t>
      </w:r>
      <w:r w:rsidR="005A3612">
        <w:rPr>
          <w:lang w:val="es-ES_tradnl"/>
        </w:rPr>
        <w:t>una mejora significativa en el grafico del clasificador</w:t>
      </w:r>
      <w:r>
        <w:rPr>
          <w:lang w:val="es-ES_tradnl"/>
        </w:rPr>
        <w:t xml:space="preserve">, obteniendo dos líneas que son muy similares, por lo que en este caso podemos ver que la utilización del clasificador a mejorado mucho a la utilización de los datos </w:t>
      </w:r>
      <w:r w:rsidR="005A3612">
        <w:rPr>
          <w:lang w:val="es-ES_tradnl"/>
        </w:rPr>
        <w:t xml:space="preserve">directamente del sistema wave </w:t>
      </w:r>
      <w:proofErr w:type="spellStart"/>
      <w:r w:rsidR="005A3612">
        <w:rPr>
          <w:lang w:val="es-ES_tradnl"/>
        </w:rPr>
        <w:t>watch</w:t>
      </w:r>
      <w:proofErr w:type="spellEnd"/>
      <w:r w:rsidR="005A3612">
        <w:rPr>
          <w:lang w:val="es-ES_tradnl"/>
        </w:rPr>
        <w:t xml:space="preserve"> III.</w:t>
      </w:r>
    </w:p>
    <w:p w:rsidR="005A3612" w:rsidRDefault="00EB2EFE" w:rsidP="00EB2EFE">
      <w:pPr>
        <w:ind w:firstLine="720"/>
        <w:jc w:val="both"/>
        <w:rPr>
          <w:noProof/>
          <w:lang w:val="es-ES_tradnl"/>
        </w:rPr>
      </w:pPr>
      <w:r w:rsidRPr="00D70BD1">
        <w:rPr>
          <w:noProof/>
          <w:lang w:val="es-ES_tradnl"/>
        </w:rPr>
        <w:t>Por otra parte, en la</w:t>
      </w:r>
      <w:r>
        <w:rPr>
          <w:noProof/>
          <w:lang w:val="es-ES_tradnl"/>
        </w:rPr>
        <w:t>, Fig. 4-3, vemos una tabla de dispersión que relaciona l</w:t>
      </w:r>
      <w:r w:rsidR="007E0A7C">
        <w:rPr>
          <w:noProof/>
          <w:lang w:val="es-ES_tradnl"/>
        </w:rPr>
        <w:t xml:space="preserve">as predicciones del modelo WW3 y </w:t>
      </w:r>
      <w:r>
        <w:rPr>
          <w:noProof/>
          <w:lang w:val="es-ES_tradnl"/>
        </w:rPr>
        <w:t>las observaciones costeras</w:t>
      </w:r>
      <w:r w:rsidR="007E0A7C">
        <w:rPr>
          <w:noProof/>
          <w:lang w:val="es-ES_tradnl"/>
        </w:rPr>
        <w:t xml:space="preserve">, </w:t>
      </w:r>
      <w:r>
        <w:rPr>
          <w:noProof/>
          <w:lang w:val="es-ES_tradnl"/>
        </w:rPr>
        <w:t>brindando mejor visibilidad del margen de error</w:t>
      </w:r>
      <w:r w:rsidR="007E0A7C">
        <w:rPr>
          <w:noProof/>
          <w:lang w:val="es-ES_tradnl"/>
        </w:rPr>
        <w:t xml:space="preserve"> de las predicciones. </w:t>
      </w:r>
    </w:p>
    <w:p w:rsidR="00EB2EFE" w:rsidRDefault="00EB2EFE" w:rsidP="00EB2EFE">
      <w:pPr>
        <w:ind w:firstLine="720"/>
        <w:jc w:val="both"/>
        <w:rPr>
          <w:noProof/>
          <w:lang w:val="es-ES_tradnl"/>
        </w:rPr>
      </w:pPr>
      <w:r w:rsidRPr="00D70BD1">
        <w:rPr>
          <w:noProof/>
          <w:lang w:val="es-ES_tradnl"/>
        </w:rPr>
        <w:t>Teniendo en cuenta que la linea verde</w:t>
      </w:r>
      <w:r w:rsidR="007E0A7C">
        <w:rPr>
          <w:noProof/>
          <w:lang w:val="es-ES_tradnl"/>
        </w:rPr>
        <w:t xml:space="preserve"> representa los valores ideales</w:t>
      </w:r>
      <w:r w:rsidRPr="00D70BD1">
        <w:rPr>
          <w:noProof/>
          <w:lang w:val="es-ES_tradnl"/>
        </w:rPr>
        <w:t xml:space="preserve"> en que los reportes del modelo son identicos a los sucedido en la costa, vemos que</w:t>
      </w:r>
      <w:r>
        <w:rPr>
          <w:noProof/>
          <w:lang w:val="es-ES_tradnl"/>
        </w:rPr>
        <w:t xml:space="preserve"> los errores son frecuentes y con un margen grande</w:t>
      </w:r>
      <w:r w:rsidR="007E0A7C">
        <w:rPr>
          <w:noProof/>
          <w:lang w:val="es-ES_tradnl"/>
        </w:rPr>
        <w:t>.</w:t>
      </w:r>
    </w:p>
    <w:p w:rsidR="00EB2EFE" w:rsidRDefault="00EB2EFE" w:rsidP="007E0A7C">
      <w:pPr>
        <w:jc w:val="both"/>
        <w:rPr>
          <w:lang w:val="es-ES_tradnl"/>
        </w:rPr>
      </w:pPr>
      <w:r>
        <w:rPr>
          <w:lang w:val="es-ES_tradnl"/>
        </w:rPr>
        <w:tab/>
      </w:r>
      <w:r w:rsidR="005A3612">
        <w:rPr>
          <w:lang w:val="es-ES_tradnl"/>
        </w:rPr>
        <w:t xml:space="preserve">Al utilizar el clasificador obtenemos el grafico de dispersión 4.3. </w:t>
      </w:r>
      <w:r>
        <w:rPr>
          <w:noProof/>
          <w:lang w:val="es-ES_tradnl"/>
        </w:rPr>
        <w:t>Estas mejoras también se hacen presentes en el gráfico de dispersión donde vemos que las predicciónes se acercan bastante al ide</w:t>
      </w:r>
      <w:r w:rsidR="007E0A7C">
        <w:rPr>
          <w:noProof/>
          <w:lang w:val="es-ES_tradnl"/>
        </w:rPr>
        <w:t>al.</w:t>
      </w:r>
    </w:p>
    <w:p w:rsidR="00EB2EFE" w:rsidRPr="00EB2EFE" w:rsidRDefault="00EB2EFE">
      <w:pPr>
        <w:rPr>
          <w:lang w:val="es-ES_tradnl"/>
        </w:rPr>
      </w:pPr>
    </w:p>
    <w:p w:rsidR="00C73748" w:rsidRDefault="00C73748">
      <w:r>
        <w:br w:type="page"/>
      </w:r>
    </w:p>
    <w:p w:rsidR="00C73748" w:rsidRDefault="00C73748">
      <w:pPr>
        <w:sectPr w:rsidR="00C73748" w:rsidSect="00C7374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73748" w:rsidRDefault="0025529E">
      <w:r>
        <w:rPr>
          <w:noProof/>
          <w:lang w:eastAsia="es-AR"/>
        </w:rPr>
        <w:lastRenderedPageBreak/>
        <w:tab/>
      </w:r>
      <w:r w:rsidR="00C73748" w:rsidRPr="00C73748">
        <w:rPr>
          <w:noProof/>
          <w:lang w:eastAsia="es-AR"/>
        </w:rPr>
        <w:drawing>
          <wp:inline distT="0" distB="0" distL="0" distR="0">
            <wp:extent cx="8249482" cy="2175642"/>
            <wp:effectExtent l="19050" t="0" r="18218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A59E5" w:rsidRPr="000A59E5" w:rsidRDefault="000A59E5">
      <w:pPr>
        <w:rPr>
          <w:lang w:val="es-ES_tradnl"/>
        </w:rPr>
      </w:pPr>
    </w:p>
    <w:p w:rsidR="00FA16F8" w:rsidRDefault="007B0B1B">
      <w:r w:rsidRPr="00E26C6B">
        <w:t xml:space="preserve"> </w:t>
      </w:r>
      <w:r w:rsidR="00E26C6B" w:rsidRPr="00E26C6B">
        <w:rPr>
          <w:noProof/>
          <w:lang w:eastAsia="es-AR"/>
        </w:rPr>
        <w:drawing>
          <wp:inline distT="0" distB="0" distL="0" distR="0">
            <wp:extent cx="8238948" cy="2200939"/>
            <wp:effectExtent l="19050" t="0" r="9702" b="8861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7792A" w:rsidRDefault="0067792A">
      <w:r>
        <w:br w:type="page"/>
      </w:r>
    </w:p>
    <w:p w:rsidR="00C73748" w:rsidRDefault="00C73748">
      <w:pPr>
        <w:sectPr w:rsidR="00C73748" w:rsidSect="0022065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64B03" w:rsidRDefault="00864B03">
      <w:r w:rsidRPr="00864B03">
        <w:rPr>
          <w:noProof/>
          <w:lang w:eastAsia="es-AR"/>
        </w:rPr>
        <w:lastRenderedPageBreak/>
        <w:drawing>
          <wp:inline distT="0" distB="0" distL="0" distR="0">
            <wp:extent cx="5390318" cy="3373821"/>
            <wp:effectExtent l="19050" t="0" r="19882" b="0"/>
            <wp:docPr id="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4B03" w:rsidRDefault="00864B03"/>
    <w:p w:rsidR="00864B03" w:rsidRDefault="00864B03">
      <w:r w:rsidRPr="00864B03">
        <w:rPr>
          <w:noProof/>
          <w:lang w:eastAsia="es-AR"/>
        </w:rPr>
        <w:drawing>
          <wp:inline distT="0" distB="0" distL="0" distR="0">
            <wp:extent cx="5376983" cy="3247696"/>
            <wp:effectExtent l="19050" t="0" r="14167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4B03" w:rsidRDefault="00864B03"/>
    <w:p w:rsidR="00864B03" w:rsidRDefault="00864B03"/>
    <w:p w:rsidR="00D11A08" w:rsidRDefault="00D11A08"/>
    <w:p w:rsidR="00C73748" w:rsidRDefault="00C73748">
      <w:r>
        <w:lastRenderedPageBreak/>
        <w:br w:type="page"/>
      </w:r>
    </w:p>
    <w:p w:rsidR="00C73748" w:rsidRDefault="00C73748"/>
    <w:p w:rsidR="00B5727B" w:rsidRDefault="00B5727B">
      <w:r>
        <w:br w:type="page"/>
      </w:r>
    </w:p>
    <w:p w:rsidR="00B5727B" w:rsidRDefault="00B5727B"/>
    <w:sectPr w:rsidR="00B5727B" w:rsidSect="00C7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727B"/>
    <w:rsid w:val="00053ED0"/>
    <w:rsid w:val="000A59E5"/>
    <w:rsid w:val="001109F5"/>
    <w:rsid w:val="00205A2E"/>
    <w:rsid w:val="00220655"/>
    <w:rsid w:val="0025529E"/>
    <w:rsid w:val="002F0AA9"/>
    <w:rsid w:val="003635D6"/>
    <w:rsid w:val="005246F8"/>
    <w:rsid w:val="005A3612"/>
    <w:rsid w:val="005D78FC"/>
    <w:rsid w:val="0067792A"/>
    <w:rsid w:val="006950AA"/>
    <w:rsid w:val="006B55F1"/>
    <w:rsid w:val="007B0B1B"/>
    <w:rsid w:val="007E0A7C"/>
    <w:rsid w:val="00864B03"/>
    <w:rsid w:val="00902E2A"/>
    <w:rsid w:val="00966182"/>
    <w:rsid w:val="009A39F2"/>
    <w:rsid w:val="009D71E7"/>
    <w:rsid w:val="00A72453"/>
    <w:rsid w:val="00B05DBD"/>
    <w:rsid w:val="00B24EB1"/>
    <w:rsid w:val="00B5727B"/>
    <w:rsid w:val="00B66906"/>
    <w:rsid w:val="00BD26CE"/>
    <w:rsid w:val="00BE0096"/>
    <w:rsid w:val="00C73748"/>
    <w:rsid w:val="00D11A08"/>
    <w:rsid w:val="00D47E4E"/>
    <w:rsid w:val="00D825D1"/>
    <w:rsid w:val="00E01302"/>
    <w:rsid w:val="00E26C6B"/>
    <w:rsid w:val="00EB2EFE"/>
    <w:rsid w:val="00FA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26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/>
          <a:lstStyle/>
          <a:p>
            <a:pPr>
              <a:defRPr/>
            </a:pPr>
            <a:r>
              <a:rPr lang="es-AR" sz="1200" b="0" i="0" baseline="0"/>
              <a:t>North Shore - Observacion Visual/ Wave Watch 3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23E-2"/>
          <c:y val="0.16285573489051142"/>
          <c:w val="0.91229087688864363"/>
          <c:h val="0.42844667523761887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0.61000000000000054</c:v>
                </c:pt>
                <c:pt idx="10">
                  <c:v>4.2669999999999995</c:v>
                </c:pt>
                <c:pt idx="11">
                  <c:v>1.218999999999999</c:v>
                </c:pt>
                <c:pt idx="12">
                  <c:v>0.61000000000000054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0.61000000000000054</c:v>
                </c:pt>
                <c:pt idx="16">
                  <c:v>0.61000000000000054</c:v>
                </c:pt>
                <c:pt idx="17">
                  <c:v>0.61000000000000054</c:v>
                </c:pt>
                <c:pt idx="18">
                  <c:v>0.61000000000000054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</c:v>
                </c:pt>
                <c:pt idx="23">
                  <c:v>4.2669999999999995</c:v>
                </c:pt>
                <c:pt idx="24">
                  <c:v>0.61000000000000054</c:v>
                </c:pt>
                <c:pt idx="25">
                  <c:v>1.218999999999999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</c:v>
                </c:pt>
                <c:pt idx="30">
                  <c:v>1.218999999999999</c:v>
                </c:pt>
                <c:pt idx="31">
                  <c:v>7.3149999999999959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</c:v>
                </c:pt>
                <c:pt idx="38">
                  <c:v>2.4379999999999997</c:v>
                </c:pt>
                <c:pt idx="39">
                  <c:v>0.61000000000000054</c:v>
                </c:pt>
                <c:pt idx="40">
                  <c:v>4.8769999999999998</c:v>
                </c:pt>
                <c:pt idx="41">
                  <c:v>0.61000000000000054</c:v>
                </c:pt>
                <c:pt idx="42">
                  <c:v>1.218999999999999</c:v>
                </c:pt>
                <c:pt idx="43">
                  <c:v>2.4379999999999997</c:v>
                </c:pt>
                <c:pt idx="44">
                  <c:v>1.218999999999999</c:v>
                </c:pt>
                <c:pt idx="45">
                  <c:v>10.973000000000004</c:v>
                </c:pt>
                <c:pt idx="46">
                  <c:v>1.218999999999999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0.61000000000000054</c:v>
                </c:pt>
                <c:pt idx="53">
                  <c:v>2.4379999999999997</c:v>
                </c:pt>
                <c:pt idx="54">
                  <c:v>0.61000000000000054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10.363000000000008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0.61000000000000054</c:v>
                </c:pt>
                <c:pt idx="61">
                  <c:v>0.61000000000000054</c:v>
                </c:pt>
                <c:pt idx="62">
                  <c:v>6.0960000000000001</c:v>
                </c:pt>
                <c:pt idx="63">
                  <c:v>0.61000000000000054</c:v>
                </c:pt>
              </c:numCache>
            </c:numRef>
          </c:yVal>
        </c:ser>
        <c:ser>
          <c:idx val="1"/>
          <c:order val="1"/>
          <c:tx>
            <c:v>Prediccion Wave Watch 3</c:v>
          </c:tx>
          <c:spPr>
            <a:ln w="22225"/>
          </c:spPr>
          <c:marker>
            <c:symbol val="diamond"/>
            <c:size val="4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Sheet1!$E$2:$E$65</c:f>
              <c:numCache>
                <c:formatCode>General</c:formatCode>
                <c:ptCount val="64"/>
                <c:pt idx="0">
                  <c:v>1.7900000000000005</c:v>
                </c:pt>
                <c:pt idx="1">
                  <c:v>3.3099999999999987</c:v>
                </c:pt>
                <c:pt idx="2">
                  <c:v>4.3599999999999985</c:v>
                </c:pt>
                <c:pt idx="3">
                  <c:v>2.2000000000000002</c:v>
                </c:pt>
                <c:pt idx="4">
                  <c:v>2.23</c:v>
                </c:pt>
                <c:pt idx="5">
                  <c:v>1.6300000000000001</c:v>
                </c:pt>
                <c:pt idx="6">
                  <c:v>1.9200000000000006</c:v>
                </c:pt>
                <c:pt idx="7">
                  <c:v>2.0299999999999998</c:v>
                </c:pt>
                <c:pt idx="8">
                  <c:v>2.8099999999999987</c:v>
                </c:pt>
                <c:pt idx="9">
                  <c:v>1.7100000000000004</c:v>
                </c:pt>
                <c:pt idx="10">
                  <c:v>2.9699999999999998</c:v>
                </c:pt>
                <c:pt idx="11">
                  <c:v>1.47</c:v>
                </c:pt>
                <c:pt idx="12">
                  <c:v>1.8800000000000001</c:v>
                </c:pt>
                <c:pt idx="13">
                  <c:v>2.3299999999999987</c:v>
                </c:pt>
                <c:pt idx="14">
                  <c:v>3.3899999999999997</c:v>
                </c:pt>
                <c:pt idx="15">
                  <c:v>1.9500000000000006</c:v>
                </c:pt>
                <c:pt idx="16">
                  <c:v>1.42</c:v>
                </c:pt>
                <c:pt idx="17">
                  <c:v>1.7300000000000004</c:v>
                </c:pt>
                <c:pt idx="18">
                  <c:v>1.33</c:v>
                </c:pt>
                <c:pt idx="19">
                  <c:v>3.03</c:v>
                </c:pt>
                <c:pt idx="20">
                  <c:v>3.15</c:v>
                </c:pt>
                <c:pt idx="21">
                  <c:v>1.7800000000000005</c:v>
                </c:pt>
                <c:pt idx="22">
                  <c:v>1.59</c:v>
                </c:pt>
                <c:pt idx="23">
                  <c:v>2.71</c:v>
                </c:pt>
                <c:pt idx="24">
                  <c:v>1.57</c:v>
                </c:pt>
                <c:pt idx="25">
                  <c:v>2.02</c:v>
                </c:pt>
                <c:pt idx="26">
                  <c:v>3.6</c:v>
                </c:pt>
                <c:pt idx="27">
                  <c:v>2.19</c:v>
                </c:pt>
                <c:pt idx="28">
                  <c:v>2.61</c:v>
                </c:pt>
                <c:pt idx="29">
                  <c:v>2.2200000000000002</c:v>
                </c:pt>
                <c:pt idx="30">
                  <c:v>1.47</c:v>
                </c:pt>
                <c:pt idx="31">
                  <c:v>5.79</c:v>
                </c:pt>
                <c:pt idx="32">
                  <c:v>2.8699999999999997</c:v>
                </c:pt>
                <c:pt idx="33">
                  <c:v>3.09</c:v>
                </c:pt>
                <c:pt idx="34">
                  <c:v>2.63</c:v>
                </c:pt>
                <c:pt idx="35">
                  <c:v>2.48</c:v>
                </c:pt>
                <c:pt idx="36">
                  <c:v>2.46</c:v>
                </c:pt>
                <c:pt idx="37">
                  <c:v>1.6300000000000001</c:v>
                </c:pt>
                <c:pt idx="38">
                  <c:v>2.13</c:v>
                </c:pt>
                <c:pt idx="39">
                  <c:v>2.11</c:v>
                </c:pt>
                <c:pt idx="40">
                  <c:v>3.15</c:v>
                </c:pt>
                <c:pt idx="41">
                  <c:v>1.83</c:v>
                </c:pt>
                <c:pt idx="42">
                  <c:v>2.1800000000000002</c:v>
                </c:pt>
                <c:pt idx="43">
                  <c:v>1.54</c:v>
                </c:pt>
                <c:pt idx="44">
                  <c:v>2.04</c:v>
                </c:pt>
                <c:pt idx="45">
                  <c:v>4.0199999999999996</c:v>
                </c:pt>
                <c:pt idx="46">
                  <c:v>1.55</c:v>
                </c:pt>
                <c:pt idx="47">
                  <c:v>1.9000000000000001</c:v>
                </c:pt>
                <c:pt idx="48">
                  <c:v>5.6</c:v>
                </c:pt>
                <c:pt idx="49">
                  <c:v>2.13</c:v>
                </c:pt>
                <c:pt idx="50">
                  <c:v>3.3499999999999988</c:v>
                </c:pt>
                <c:pt idx="51">
                  <c:v>4.7699999999999996</c:v>
                </c:pt>
                <c:pt idx="52">
                  <c:v>1.680000000000001</c:v>
                </c:pt>
                <c:pt idx="53">
                  <c:v>2.69</c:v>
                </c:pt>
                <c:pt idx="54">
                  <c:v>1.9000000000000001</c:v>
                </c:pt>
                <c:pt idx="55">
                  <c:v>2.98</c:v>
                </c:pt>
                <c:pt idx="56">
                  <c:v>1.9800000000000006</c:v>
                </c:pt>
                <c:pt idx="57">
                  <c:v>5.79</c:v>
                </c:pt>
                <c:pt idx="58">
                  <c:v>3.94</c:v>
                </c:pt>
                <c:pt idx="59">
                  <c:v>2.63</c:v>
                </c:pt>
                <c:pt idx="60">
                  <c:v>2.5</c:v>
                </c:pt>
                <c:pt idx="61">
                  <c:v>2.0299999999999998</c:v>
                </c:pt>
                <c:pt idx="62">
                  <c:v>3.16</c:v>
                </c:pt>
                <c:pt idx="63">
                  <c:v>2.19</c:v>
                </c:pt>
              </c:numCache>
            </c:numRef>
          </c:yVal>
        </c:ser>
        <c:axId val="58839040"/>
        <c:axId val="58841344"/>
      </c:scatterChart>
      <c:valAx>
        <c:axId val="58839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Día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58841344"/>
        <c:crosses val="autoZero"/>
        <c:crossBetween val="midCat"/>
        <c:majorUnit val="5"/>
      </c:valAx>
      <c:valAx>
        <c:axId val="588413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Altura de ola</a:t>
                </a:r>
              </a:p>
            </c:rich>
          </c:tx>
          <c:layout>
            <c:manualLayout>
              <c:xMode val="edge"/>
              <c:yMode val="edge"/>
              <c:x val="3.0155252103157026E-3"/>
              <c:y val="0.29042414159710955"/>
            </c:manualLayout>
          </c:layout>
        </c:title>
        <c:numFmt formatCode="General" sourceLinked="1"/>
        <c:majorTickMark val="none"/>
        <c:tickLblPos val="nextTo"/>
        <c:crossAx val="588390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06"/>
          <c:h val="0.16317756172635528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/>
          <a:lstStyle/>
          <a:p>
            <a:pPr>
              <a:defRPr/>
            </a:pPr>
            <a:r>
              <a:rPr lang="es-AR" sz="1200" b="0" i="0" baseline="0"/>
              <a:t>North Shore - Observacion Visual/ Clasificador de Soporte Vectorial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854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0.61000000000000054</c:v>
                </c:pt>
                <c:pt idx="10">
                  <c:v>4.2669999999999995</c:v>
                </c:pt>
                <c:pt idx="11">
                  <c:v>1.218999999999999</c:v>
                </c:pt>
                <c:pt idx="12">
                  <c:v>0.61000000000000054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0.61000000000000054</c:v>
                </c:pt>
                <c:pt idx="16">
                  <c:v>0.61000000000000054</c:v>
                </c:pt>
                <c:pt idx="17">
                  <c:v>0.61000000000000054</c:v>
                </c:pt>
                <c:pt idx="18">
                  <c:v>0.61000000000000054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</c:v>
                </c:pt>
                <c:pt idx="23">
                  <c:v>4.2669999999999995</c:v>
                </c:pt>
                <c:pt idx="24">
                  <c:v>0.61000000000000054</c:v>
                </c:pt>
                <c:pt idx="25">
                  <c:v>1.218999999999999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</c:v>
                </c:pt>
                <c:pt idx="30">
                  <c:v>1.218999999999999</c:v>
                </c:pt>
                <c:pt idx="31">
                  <c:v>7.3149999999999959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</c:v>
                </c:pt>
                <c:pt idx="38">
                  <c:v>2.4379999999999997</c:v>
                </c:pt>
                <c:pt idx="39">
                  <c:v>0.61000000000000054</c:v>
                </c:pt>
                <c:pt idx="40">
                  <c:v>4.8769999999999998</c:v>
                </c:pt>
                <c:pt idx="41">
                  <c:v>0.61000000000000054</c:v>
                </c:pt>
                <c:pt idx="42">
                  <c:v>1.218999999999999</c:v>
                </c:pt>
                <c:pt idx="43">
                  <c:v>2.4379999999999997</c:v>
                </c:pt>
                <c:pt idx="44">
                  <c:v>1.218999999999999</c:v>
                </c:pt>
                <c:pt idx="45">
                  <c:v>10.973000000000004</c:v>
                </c:pt>
                <c:pt idx="46">
                  <c:v>1.218999999999999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0.61000000000000054</c:v>
                </c:pt>
                <c:pt idx="53">
                  <c:v>2.4379999999999997</c:v>
                </c:pt>
                <c:pt idx="54">
                  <c:v>0.61000000000000054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10.363000000000008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0.61000000000000054</c:v>
                </c:pt>
                <c:pt idx="61">
                  <c:v>0.61000000000000054</c:v>
                </c:pt>
                <c:pt idx="62">
                  <c:v>6.0960000000000001</c:v>
                </c:pt>
                <c:pt idx="63">
                  <c:v>0.61000000000000054</c:v>
                </c:pt>
              </c:numCache>
            </c:numRef>
          </c:yVal>
        </c:ser>
        <c:ser>
          <c:idx val="1"/>
          <c:order val="1"/>
          <c:tx>
            <c:v>Prediccion Clasificador</c:v>
          </c:tx>
          <c:spPr>
            <a:ln w="22225"/>
          </c:spPr>
          <c:marker>
            <c:symbol val="diamond"/>
            <c:size val="4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Sheet1!$C$2:$C$65</c:f>
              <c:numCache>
                <c:formatCode>General</c:formatCode>
                <c:ptCount val="64"/>
                <c:pt idx="0">
                  <c:v>0.80600000000000005</c:v>
                </c:pt>
                <c:pt idx="1">
                  <c:v>3.145</c:v>
                </c:pt>
                <c:pt idx="2">
                  <c:v>8.1239999999999988</c:v>
                </c:pt>
                <c:pt idx="3">
                  <c:v>1.9650000000000001</c:v>
                </c:pt>
                <c:pt idx="4">
                  <c:v>2.887</c:v>
                </c:pt>
                <c:pt idx="5">
                  <c:v>1.165</c:v>
                </c:pt>
                <c:pt idx="6">
                  <c:v>0.82000000000000051</c:v>
                </c:pt>
                <c:pt idx="7">
                  <c:v>0.96800000000000053</c:v>
                </c:pt>
                <c:pt idx="8">
                  <c:v>1.9800000000000011</c:v>
                </c:pt>
                <c:pt idx="9">
                  <c:v>0.71100000000000052</c:v>
                </c:pt>
                <c:pt idx="10">
                  <c:v>4.758</c:v>
                </c:pt>
                <c:pt idx="11">
                  <c:v>1.002</c:v>
                </c:pt>
                <c:pt idx="12">
                  <c:v>0.75300000000000056</c:v>
                </c:pt>
                <c:pt idx="13">
                  <c:v>2.8809999999999998</c:v>
                </c:pt>
                <c:pt idx="14">
                  <c:v>5.4390000000000045</c:v>
                </c:pt>
                <c:pt idx="15">
                  <c:v>0.82399999999999995</c:v>
                </c:pt>
                <c:pt idx="16">
                  <c:v>1.0680000000000001</c:v>
                </c:pt>
                <c:pt idx="17">
                  <c:v>0.89200000000000002</c:v>
                </c:pt>
                <c:pt idx="18">
                  <c:v>0.54100000000000004</c:v>
                </c:pt>
                <c:pt idx="19">
                  <c:v>3.7669999999999999</c:v>
                </c:pt>
                <c:pt idx="20">
                  <c:v>4.9700000000000024</c:v>
                </c:pt>
                <c:pt idx="21">
                  <c:v>0.68899999999999995</c:v>
                </c:pt>
                <c:pt idx="22">
                  <c:v>1.0289999999999988</c:v>
                </c:pt>
                <c:pt idx="23">
                  <c:v>1.734</c:v>
                </c:pt>
                <c:pt idx="24">
                  <c:v>0.84400000000000053</c:v>
                </c:pt>
                <c:pt idx="25">
                  <c:v>0.88100000000000001</c:v>
                </c:pt>
                <c:pt idx="26">
                  <c:v>4.4809999999999999</c:v>
                </c:pt>
                <c:pt idx="27">
                  <c:v>2.403</c:v>
                </c:pt>
                <c:pt idx="28">
                  <c:v>2.641</c:v>
                </c:pt>
                <c:pt idx="29">
                  <c:v>1.206999999999999</c:v>
                </c:pt>
                <c:pt idx="30">
                  <c:v>1.768</c:v>
                </c:pt>
                <c:pt idx="31">
                  <c:v>8.9940000000000015</c:v>
                </c:pt>
                <c:pt idx="32">
                  <c:v>3.6269999999999998</c:v>
                </c:pt>
                <c:pt idx="33">
                  <c:v>4.08</c:v>
                </c:pt>
                <c:pt idx="34">
                  <c:v>3.4659999999999997</c:v>
                </c:pt>
                <c:pt idx="35">
                  <c:v>3.694</c:v>
                </c:pt>
                <c:pt idx="36">
                  <c:v>2.48</c:v>
                </c:pt>
                <c:pt idx="37">
                  <c:v>0.7790000000000008</c:v>
                </c:pt>
                <c:pt idx="38">
                  <c:v>2.8179999999999987</c:v>
                </c:pt>
                <c:pt idx="39">
                  <c:v>1.585</c:v>
                </c:pt>
                <c:pt idx="40">
                  <c:v>5.8039999999999985</c:v>
                </c:pt>
                <c:pt idx="41">
                  <c:v>0.90200000000000002</c:v>
                </c:pt>
                <c:pt idx="42">
                  <c:v>1.339</c:v>
                </c:pt>
                <c:pt idx="43">
                  <c:v>2.3899999999999997</c:v>
                </c:pt>
                <c:pt idx="44">
                  <c:v>1.2609999999999988</c:v>
                </c:pt>
                <c:pt idx="45">
                  <c:v>5.7910000000000004</c:v>
                </c:pt>
                <c:pt idx="46">
                  <c:v>1.8959999999999988</c:v>
                </c:pt>
                <c:pt idx="47">
                  <c:v>3.2330000000000001</c:v>
                </c:pt>
                <c:pt idx="48">
                  <c:v>11.099</c:v>
                </c:pt>
                <c:pt idx="49">
                  <c:v>2.8249999999999997</c:v>
                </c:pt>
                <c:pt idx="50">
                  <c:v>3.1739999999999999</c:v>
                </c:pt>
                <c:pt idx="51">
                  <c:v>6.8</c:v>
                </c:pt>
                <c:pt idx="52">
                  <c:v>1.161</c:v>
                </c:pt>
                <c:pt idx="53">
                  <c:v>1.6459999999999988</c:v>
                </c:pt>
                <c:pt idx="54">
                  <c:v>0.90500000000000003</c:v>
                </c:pt>
                <c:pt idx="55">
                  <c:v>5.6579999999999959</c:v>
                </c:pt>
                <c:pt idx="56">
                  <c:v>1.1659999999999988</c:v>
                </c:pt>
                <c:pt idx="57">
                  <c:v>10.596</c:v>
                </c:pt>
                <c:pt idx="58">
                  <c:v>5.2460000000000004</c:v>
                </c:pt>
                <c:pt idx="59">
                  <c:v>2.8699999999999997</c:v>
                </c:pt>
                <c:pt idx="60">
                  <c:v>1.712</c:v>
                </c:pt>
                <c:pt idx="61">
                  <c:v>1.095</c:v>
                </c:pt>
                <c:pt idx="62">
                  <c:v>5.4690000000000003</c:v>
                </c:pt>
                <c:pt idx="63">
                  <c:v>0.92800000000000005</c:v>
                </c:pt>
              </c:numCache>
            </c:numRef>
          </c:yVal>
        </c:ser>
        <c:axId val="70135808"/>
        <c:axId val="70138112"/>
      </c:scatterChart>
      <c:valAx>
        <c:axId val="70135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Día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70138112"/>
        <c:crosses val="autoZero"/>
        <c:crossBetween val="midCat"/>
        <c:majorUnit val="5"/>
      </c:valAx>
      <c:valAx>
        <c:axId val="701381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Altura de ola</a:t>
                </a:r>
              </a:p>
            </c:rich>
          </c:tx>
          <c:layout>
            <c:manualLayout>
              <c:xMode val="edge"/>
              <c:yMode val="edge"/>
              <c:x val="3.0155252103157017E-3"/>
              <c:y val="0.29042414159710944"/>
            </c:manualLayout>
          </c:layout>
        </c:title>
        <c:numFmt formatCode="General" sourceLinked="1"/>
        <c:majorTickMark val="none"/>
        <c:tickLblPos val="nextTo"/>
        <c:crossAx val="701358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295"/>
          <c:h val="0.16317756172635528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82E-2"/>
          <c:w val="0.87042860499284569"/>
          <c:h val="0.75935138208448139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Sheet1!$E$2:$E$65</c:f>
              <c:numCache>
                <c:formatCode>General</c:formatCode>
                <c:ptCount val="64"/>
                <c:pt idx="0">
                  <c:v>1.79</c:v>
                </c:pt>
                <c:pt idx="1">
                  <c:v>3.3099999999999987</c:v>
                </c:pt>
                <c:pt idx="2">
                  <c:v>4.3599999999999985</c:v>
                </c:pt>
                <c:pt idx="3">
                  <c:v>2.2000000000000002</c:v>
                </c:pt>
                <c:pt idx="4">
                  <c:v>2.23</c:v>
                </c:pt>
                <c:pt idx="5">
                  <c:v>1.6300000000000001</c:v>
                </c:pt>
                <c:pt idx="6">
                  <c:v>1.920000000000001</c:v>
                </c:pt>
                <c:pt idx="7">
                  <c:v>2.0299999999999998</c:v>
                </c:pt>
                <c:pt idx="8">
                  <c:v>2.8099999999999987</c:v>
                </c:pt>
                <c:pt idx="9">
                  <c:v>1.71</c:v>
                </c:pt>
                <c:pt idx="10">
                  <c:v>2.9699999999999998</c:v>
                </c:pt>
                <c:pt idx="11">
                  <c:v>1.47</c:v>
                </c:pt>
                <c:pt idx="12">
                  <c:v>1.8800000000000001</c:v>
                </c:pt>
                <c:pt idx="13">
                  <c:v>2.3299999999999987</c:v>
                </c:pt>
                <c:pt idx="14">
                  <c:v>3.3899999999999997</c:v>
                </c:pt>
                <c:pt idx="15">
                  <c:v>1.9500000000000011</c:v>
                </c:pt>
                <c:pt idx="16">
                  <c:v>1.42</c:v>
                </c:pt>
                <c:pt idx="17">
                  <c:v>1.73</c:v>
                </c:pt>
                <c:pt idx="18">
                  <c:v>1.33</c:v>
                </c:pt>
                <c:pt idx="19">
                  <c:v>3.03</c:v>
                </c:pt>
                <c:pt idx="20">
                  <c:v>3.15</c:v>
                </c:pt>
                <c:pt idx="21">
                  <c:v>1.78</c:v>
                </c:pt>
                <c:pt idx="22">
                  <c:v>1.59</c:v>
                </c:pt>
                <c:pt idx="23">
                  <c:v>2.71</c:v>
                </c:pt>
                <c:pt idx="24">
                  <c:v>1.57</c:v>
                </c:pt>
                <c:pt idx="25">
                  <c:v>2.02</c:v>
                </c:pt>
                <c:pt idx="26">
                  <c:v>3.6</c:v>
                </c:pt>
                <c:pt idx="27">
                  <c:v>2.19</c:v>
                </c:pt>
                <c:pt idx="28">
                  <c:v>2.61</c:v>
                </c:pt>
                <c:pt idx="29">
                  <c:v>2.2200000000000002</c:v>
                </c:pt>
                <c:pt idx="30">
                  <c:v>1.47</c:v>
                </c:pt>
                <c:pt idx="31">
                  <c:v>5.79</c:v>
                </c:pt>
                <c:pt idx="32">
                  <c:v>2.8699999999999997</c:v>
                </c:pt>
                <c:pt idx="33">
                  <c:v>3.09</c:v>
                </c:pt>
                <c:pt idx="34">
                  <c:v>2.63</c:v>
                </c:pt>
                <c:pt idx="35">
                  <c:v>2.48</c:v>
                </c:pt>
                <c:pt idx="36">
                  <c:v>2.46</c:v>
                </c:pt>
                <c:pt idx="37">
                  <c:v>1.6300000000000001</c:v>
                </c:pt>
                <c:pt idx="38">
                  <c:v>2.13</c:v>
                </c:pt>
                <c:pt idx="39">
                  <c:v>2.11</c:v>
                </c:pt>
                <c:pt idx="40">
                  <c:v>3.15</c:v>
                </c:pt>
                <c:pt idx="41">
                  <c:v>1.83</c:v>
                </c:pt>
                <c:pt idx="42">
                  <c:v>2.1800000000000002</c:v>
                </c:pt>
                <c:pt idx="43">
                  <c:v>1.54</c:v>
                </c:pt>
                <c:pt idx="44">
                  <c:v>2.04</c:v>
                </c:pt>
                <c:pt idx="45">
                  <c:v>4.0199999999999996</c:v>
                </c:pt>
                <c:pt idx="46">
                  <c:v>1.55</c:v>
                </c:pt>
                <c:pt idx="47">
                  <c:v>1.9000000000000001</c:v>
                </c:pt>
                <c:pt idx="48">
                  <c:v>5.6</c:v>
                </c:pt>
                <c:pt idx="49">
                  <c:v>2.13</c:v>
                </c:pt>
                <c:pt idx="50">
                  <c:v>3.3499999999999988</c:v>
                </c:pt>
                <c:pt idx="51">
                  <c:v>4.7699999999999996</c:v>
                </c:pt>
                <c:pt idx="52">
                  <c:v>1.680000000000001</c:v>
                </c:pt>
                <c:pt idx="53">
                  <c:v>2.69</c:v>
                </c:pt>
                <c:pt idx="54">
                  <c:v>1.9000000000000001</c:v>
                </c:pt>
                <c:pt idx="55">
                  <c:v>2.98</c:v>
                </c:pt>
                <c:pt idx="56">
                  <c:v>1.9800000000000011</c:v>
                </c:pt>
                <c:pt idx="57">
                  <c:v>5.79</c:v>
                </c:pt>
                <c:pt idx="58">
                  <c:v>3.94</c:v>
                </c:pt>
                <c:pt idx="59">
                  <c:v>2.63</c:v>
                </c:pt>
                <c:pt idx="60">
                  <c:v>2.5</c:v>
                </c:pt>
                <c:pt idx="61">
                  <c:v>2.0299999999999998</c:v>
                </c:pt>
                <c:pt idx="62">
                  <c:v>3.16</c:v>
                </c:pt>
                <c:pt idx="63">
                  <c:v>2.19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0.61000000000000054</c:v>
                </c:pt>
                <c:pt idx="10">
                  <c:v>4.2669999999999995</c:v>
                </c:pt>
                <c:pt idx="11">
                  <c:v>1.218999999999999</c:v>
                </c:pt>
                <c:pt idx="12">
                  <c:v>0.61000000000000054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0.61000000000000054</c:v>
                </c:pt>
                <c:pt idx="16">
                  <c:v>0.61000000000000054</c:v>
                </c:pt>
                <c:pt idx="17">
                  <c:v>0.61000000000000054</c:v>
                </c:pt>
                <c:pt idx="18">
                  <c:v>0.61000000000000054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</c:v>
                </c:pt>
                <c:pt idx="23">
                  <c:v>4.2669999999999995</c:v>
                </c:pt>
                <c:pt idx="24">
                  <c:v>0.61000000000000054</c:v>
                </c:pt>
                <c:pt idx="25">
                  <c:v>1.218999999999999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</c:v>
                </c:pt>
                <c:pt idx="30">
                  <c:v>1.218999999999999</c:v>
                </c:pt>
                <c:pt idx="31">
                  <c:v>7.3149999999999959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</c:v>
                </c:pt>
                <c:pt idx="38">
                  <c:v>2.4379999999999997</c:v>
                </c:pt>
                <c:pt idx="39">
                  <c:v>0.61000000000000054</c:v>
                </c:pt>
                <c:pt idx="40">
                  <c:v>4.8769999999999998</c:v>
                </c:pt>
                <c:pt idx="41">
                  <c:v>0.61000000000000054</c:v>
                </c:pt>
                <c:pt idx="42">
                  <c:v>1.218999999999999</c:v>
                </c:pt>
                <c:pt idx="43">
                  <c:v>2.4379999999999997</c:v>
                </c:pt>
                <c:pt idx="44">
                  <c:v>1.218999999999999</c:v>
                </c:pt>
                <c:pt idx="45">
                  <c:v>10.973000000000004</c:v>
                </c:pt>
                <c:pt idx="46">
                  <c:v>1.218999999999999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0.61000000000000054</c:v>
                </c:pt>
                <c:pt idx="53">
                  <c:v>2.4379999999999997</c:v>
                </c:pt>
                <c:pt idx="54">
                  <c:v>0.61000000000000054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10.363000000000008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0.61000000000000054</c:v>
                </c:pt>
                <c:pt idx="61">
                  <c:v>0.61000000000000054</c:v>
                </c:pt>
                <c:pt idx="62">
                  <c:v>6.0960000000000001</c:v>
                </c:pt>
                <c:pt idx="63">
                  <c:v>0.61000000000000054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xVal>
          <c:y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yVal>
        </c:ser>
        <c:axId val="88771200"/>
        <c:axId val="91687168"/>
      </c:scatterChart>
      <c:valAx>
        <c:axId val="88771200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Wave</a:t>
                </a:r>
                <a:r>
                  <a:rPr lang="es-AR" baseline="0"/>
                  <a:t>Watch 3</a:t>
                </a:r>
                <a:endParaRPr lang="es-AR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91687168"/>
        <c:crosses val="autoZero"/>
        <c:crossBetween val="midCat"/>
        <c:majorUnit val="2"/>
      </c:valAx>
      <c:valAx>
        <c:axId val="9168716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Observacion Visual</a:t>
                </a:r>
              </a:p>
            </c:rich>
          </c:tx>
        </c:title>
        <c:numFmt formatCode="General" sourceLinked="1"/>
        <c:tickLblPos val="nextTo"/>
        <c:crossAx val="88771200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917E-2"/>
          <c:w val="0.87042860499284569"/>
          <c:h val="0.75935138208448105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Sheet1!$C$2:$C$65</c:f>
              <c:numCache>
                <c:formatCode>General</c:formatCode>
                <c:ptCount val="64"/>
                <c:pt idx="0">
                  <c:v>0.80600000000000005</c:v>
                </c:pt>
                <c:pt idx="1">
                  <c:v>3.145</c:v>
                </c:pt>
                <c:pt idx="2">
                  <c:v>8.1239999999999988</c:v>
                </c:pt>
                <c:pt idx="3">
                  <c:v>1.9650000000000001</c:v>
                </c:pt>
                <c:pt idx="4">
                  <c:v>2.887</c:v>
                </c:pt>
                <c:pt idx="5">
                  <c:v>1.165</c:v>
                </c:pt>
                <c:pt idx="6">
                  <c:v>0.82000000000000051</c:v>
                </c:pt>
                <c:pt idx="7">
                  <c:v>0.96800000000000053</c:v>
                </c:pt>
                <c:pt idx="8">
                  <c:v>1.9800000000000011</c:v>
                </c:pt>
                <c:pt idx="9">
                  <c:v>0.71100000000000052</c:v>
                </c:pt>
                <c:pt idx="10">
                  <c:v>4.758</c:v>
                </c:pt>
                <c:pt idx="11">
                  <c:v>1.002</c:v>
                </c:pt>
                <c:pt idx="12">
                  <c:v>0.75300000000000056</c:v>
                </c:pt>
                <c:pt idx="13">
                  <c:v>2.8809999999999998</c:v>
                </c:pt>
                <c:pt idx="14">
                  <c:v>5.4390000000000045</c:v>
                </c:pt>
                <c:pt idx="15">
                  <c:v>0.82399999999999995</c:v>
                </c:pt>
                <c:pt idx="16">
                  <c:v>1.0680000000000001</c:v>
                </c:pt>
                <c:pt idx="17">
                  <c:v>0.89200000000000002</c:v>
                </c:pt>
                <c:pt idx="18">
                  <c:v>0.54100000000000004</c:v>
                </c:pt>
                <c:pt idx="19">
                  <c:v>3.7669999999999999</c:v>
                </c:pt>
                <c:pt idx="20">
                  <c:v>4.9700000000000024</c:v>
                </c:pt>
                <c:pt idx="21">
                  <c:v>0.68899999999999995</c:v>
                </c:pt>
                <c:pt idx="22">
                  <c:v>1.0289999999999988</c:v>
                </c:pt>
                <c:pt idx="23">
                  <c:v>1.734</c:v>
                </c:pt>
                <c:pt idx="24">
                  <c:v>0.84400000000000053</c:v>
                </c:pt>
                <c:pt idx="25">
                  <c:v>0.88100000000000001</c:v>
                </c:pt>
                <c:pt idx="26">
                  <c:v>4.4809999999999999</c:v>
                </c:pt>
                <c:pt idx="27">
                  <c:v>2.403</c:v>
                </c:pt>
                <c:pt idx="28">
                  <c:v>2.641</c:v>
                </c:pt>
                <c:pt idx="29">
                  <c:v>1.206999999999999</c:v>
                </c:pt>
                <c:pt idx="30">
                  <c:v>1.768</c:v>
                </c:pt>
                <c:pt idx="31">
                  <c:v>8.9940000000000015</c:v>
                </c:pt>
                <c:pt idx="32">
                  <c:v>3.6269999999999998</c:v>
                </c:pt>
                <c:pt idx="33">
                  <c:v>4.08</c:v>
                </c:pt>
                <c:pt idx="34">
                  <c:v>3.4659999999999997</c:v>
                </c:pt>
                <c:pt idx="35">
                  <c:v>3.694</c:v>
                </c:pt>
                <c:pt idx="36">
                  <c:v>2.48</c:v>
                </c:pt>
                <c:pt idx="37">
                  <c:v>0.7790000000000008</c:v>
                </c:pt>
                <c:pt idx="38">
                  <c:v>2.8179999999999987</c:v>
                </c:pt>
                <c:pt idx="39">
                  <c:v>1.585</c:v>
                </c:pt>
                <c:pt idx="40">
                  <c:v>5.8039999999999985</c:v>
                </c:pt>
                <c:pt idx="41">
                  <c:v>0.90200000000000002</c:v>
                </c:pt>
                <c:pt idx="42">
                  <c:v>1.339</c:v>
                </c:pt>
                <c:pt idx="43">
                  <c:v>2.3899999999999997</c:v>
                </c:pt>
                <c:pt idx="44">
                  <c:v>1.2609999999999988</c:v>
                </c:pt>
                <c:pt idx="45">
                  <c:v>5.7910000000000004</c:v>
                </c:pt>
                <c:pt idx="46">
                  <c:v>1.8959999999999988</c:v>
                </c:pt>
                <c:pt idx="47">
                  <c:v>3.2330000000000001</c:v>
                </c:pt>
                <c:pt idx="48">
                  <c:v>11.099</c:v>
                </c:pt>
                <c:pt idx="49">
                  <c:v>2.8249999999999997</c:v>
                </c:pt>
                <c:pt idx="50">
                  <c:v>3.1739999999999999</c:v>
                </c:pt>
                <c:pt idx="51">
                  <c:v>6.8</c:v>
                </c:pt>
                <c:pt idx="52">
                  <c:v>1.161</c:v>
                </c:pt>
                <c:pt idx="53">
                  <c:v>1.6459999999999988</c:v>
                </c:pt>
                <c:pt idx="54">
                  <c:v>0.90500000000000003</c:v>
                </c:pt>
                <c:pt idx="55">
                  <c:v>5.6579999999999959</c:v>
                </c:pt>
                <c:pt idx="56">
                  <c:v>1.1659999999999988</c:v>
                </c:pt>
                <c:pt idx="57">
                  <c:v>10.596</c:v>
                </c:pt>
                <c:pt idx="58">
                  <c:v>5.2460000000000004</c:v>
                </c:pt>
                <c:pt idx="59">
                  <c:v>2.8699999999999997</c:v>
                </c:pt>
                <c:pt idx="60">
                  <c:v>1.712</c:v>
                </c:pt>
                <c:pt idx="61">
                  <c:v>1.095</c:v>
                </c:pt>
                <c:pt idx="62">
                  <c:v>5.4690000000000003</c:v>
                </c:pt>
                <c:pt idx="63">
                  <c:v>0.92800000000000005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1.218999999999999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0.61000000000000054</c:v>
                </c:pt>
                <c:pt idx="10">
                  <c:v>4.2669999999999995</c:v>
                </c:pt>
                <c:pt idx="11">
                  <c:v>1.218999999999999</c:v>
                </c:pt>
                <c:pt idx="12">
                  <c:v>0.61000000000000054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0.61000000000000054</c:v>
                </c:pt>
                <c:pt idx="16">
                  <c:v>0.61000000000000054</c:v>
                </c:pt>
                <c:pt idx="17">
                  <c:v>0.61000000000000054</c:v>
                </c:pt>
                <c:pt idx="18">
                  <c:v>0.61000000000000054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1.218999999999999</c:v>
                </c:pt>
                <c:pt idx="23">
                  <c:v>4.2669999999999995</c:v>
                </c:pt>
                <c:pt idx="24">
                  <c:v>0.61000000000000054</c:v>
                </c:pt>
                <c:pt idx="25">
                  <c:v>1.218999999999999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1.218999999999999</c:v>
                </c:pt>
                <c:pt idx="30">
                  <c:v>1.218999999999999</c:v>
                </c:pt>
                <c:pt idx="31">
                  <c:v>7.3149999999999959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1.218999999999999</c:v>
                </c:pt>
                <c:pt idx="38">
                  <c:v>2.4379999999999997</c:v>
                </c:pt>
                <c:pt idx="39">
                  <c:v>0.61000000000000054</c:v>
                </c:pt>
                <c:pt idx="40">
                  <c:v>4.8769999999999998</c:v>
                </c:pt>
                <c:pt idx="41">
                  <c:v>0.61000000000000054</c:v>
                </c:pt>
                <c:pt idx="42">
                  <c:v>1.218999999999999</c:v>
                </c:pt>
                <c:pt idx="43">
                  <c:v>2.4379999999999997</c:v>
                </c:pt>
                <c:pt idx="44">
                  <c:v>1.218999999999999</c:v>
                </c:pt>
                <c:pt idx="45">
                  <c:v>10.973000000000004</c:v>
                </c:pt>
                <c:pt idx="46">
                  <c:v>1.218999999999999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0.61000000000000054</c:v>
                </c:pt>
                <c:pt idx="53">
                  <c:v>2.4379999999999997</c:v>
                </c:pt>
                <c:pt idx="54">
                  <c:v>0.61000000000000054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10.363000000000008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0.61000000000000054</c:v>
                </c:pt>
                <c:pt idx="61">
                  <c:v>0.61000000000000054</c:v>
                </c:pt>
                <c:pt idx="62">
                  <c:v>6.0960000000000001</c:v>
                </c:pt>
                <c:pt idx="63">
                  <c:v>0.61000000000000054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xVal>
          <c:y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yVal>
        </c:ser>
        <c:axId val="69987712"/>
        <c:axId val="70161920"/>
      </c:scatterChart>
      <c:valAx>
        <c:axId val="69987712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Predicción</a:t>
                </a:r>
                <a:r>
                  <a:rPr lang="es-AR" baseline="0"/>
                  <a:t> Clasificador</a:t>
                </a:r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baseline="0"/>
            </a:pPr>
            <a:endParaRPr lang="es-AR"/>
          </a:p>
        </c:txPr>
        <c:crossAx val="70161920"/>
        <c:crosses val="autoZero"/>
        <c:crossBetween val="midCat"/>
        <c:majorUnit val="2"/>
      </c:valAx>
      <c:valAx>
        <c:axId val="7016192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Observacion Visual</a:t>
                </a:r>
              </a:p>
            </c:rich>
          </c:tx>
        </c:title>
        <c:numFmt formatCode="General" sourceLinked="1"/>
        <c:tickLblPos val="nextTo"/>
        <c:crossAx val="6998771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6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6</cp:revision>
  <dcterms:created xsi:type="dcterms:W3CDTF">2010-05-18T22:24:00Z</dcterms:created>
  <dcterms:modified xsi:type="dcterms:W3CDTF">2010-05-20T14:53:00Z</dcterms:modified>
</cp:coreProperties>
</file>