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446" w:rsidRPr="001D5E89" w:rsidRDefault="00F27446" w:rsidP="00F27446">
      <w:pPr>
        <w:pStyle w:val="Ttulo3"/>
        <w:rPr>
          <w:rFonts w:asciiTheme="minorHAnsi" w:hAnsiTheme="minorHAnsi" w:cstheme="minorHAnsi"/>
          <w:color w:val="000000"/>
          <w:sz w:val="22"/>
          <w:szCs w:val="22"/>
          <w:lang w:val="es-ES"/>
        </w:rPr>
      </w:pPr>
      <w:bookmarkStart w:id="0" w:name="_Toc262167592"/>
      <w:r w:rsidRPr="001D5E89">
        <w:rPr>
          <w:rFonts w:asciiTheme="minorHAnsi" w:hAnsiTheme="minorHAnsi" w:cstheme="minorHAnsi"/>
          <w:color w:val="000000"/>
          <w:sz w:val="22"/>
          <w:szCs w:val="22"/>
          <w:lang w:val="es-ES"/>
        </w:rPr>
        <w:t>4.5.</w:t>
      </w:r>
      <w:r>
        <w:rPr>
          <w:rFonts w:asciiTheme="minorHAnsi" w:hAnsiTheme="minorHAnsi" w:cstheme="minorHAnsi"/>
          <w:color w:val="000000"/>
          <w:sz w:val="22"/>
          <w:szCs w:val="22"/>
          <w:lang w:val="es-ES"/>
        </w:rPr>
        <w:t>3</w:t>
      </w:r>
      <w:r w:rsidRPr="001D5E89"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 </w:t>
      </w:r>
      <w:bookmarkEnd w:id="0"/>
      <w:r>
        <w:rPr>
          <w:rFonts w:asciiTheme="minorHAnsi" w:hAnsiTheme="minorHAnsi" w:cstheme="minorHAnsi"/>
          <w:color w:val="000000"/>
          <w:sz w:val="22"/>
          <w:szCs w:val="22"/>
          <w:lang w:val="es-ES"/>
        </w:rPr>
        <w:t>Diamond Head</w:t>
      </w:r>
    </w:p>
    <w:p w:rsidR="00F27446" w:rsidRPr="007141AB" w:rsidRDefault="00F27446" w:rsidP="00F27446">
      <w:pPr>
        <w:spacing w:after="200"/>
        <w:ind w:firstLine="708"/>
        <w:jc w:val="both"/>
        <w:rPr>
          <w:rFonts w:asciiTheme="minorHAnsi" w:hAnsiTheme="minorHAnsi" w:cstheme="minorHAnsi"/>
          <w:color w:val="000000"/>
          <w:lang w:val="es-ES"/>
        </w:rPr>
      </w:pPr>
      <w:r w:rsidRPr="007141AB">
        <w:rPr>
          <w:rFonts w:asciiTheme="minorHAnsi" w:hAnsiTheme="minorHAnsi" w:cstheme="minorHAnsi"/>
          <w:color w:val="000000"/>
          <w:lang w:val="es-ES"/>
        </w:rPr>
        <w:t>Esta</w:t>
      </w:r>
      <w:r w:rsidR="00745D26">
        <w:rPr>
          <w:rFonts w:asciiTheme="minorHAnsi" w:hAnsiTheme="minorHAnsi" w:cstheme="minorHAnsi"/>
          <w:color w:val="000000"/>
          <w:lang w:val="es-ES"/>
        </w:rPr>
        <w:t xml:space="preserve"> ola se localiza en la costa sudeste</w:t>
      </w:r>
      <w:r w:rsidRPr="007141AB">
        <w:rPr>
          <w:rFonts w:asciiTheme="minorHAnsi" w:hAnsiTheme="minorHAnsi" w:cstheme="minorHAnsi"/>
          <w:color w:val="000000"/>
          <w:lang w:val="es-ES"/>
        </w:rPr>
        <w:t xml:space="preserve"> de Oahu, según se ve en la siguiente figura. La estrella naranja simboliza la ubicación aproximada del GridPoint utilizado del modelo WAVEWATCH III como fuente de pronósticos mar adentro.</w:t>
      </w:r>
    </w:p>
    <w:p w:rsidR="00F27446" w:rsidRPr="007141AB" w:rsidRDefault="00727C32" w:rsidP="00F27446">
      <w:pPr>
        <w:spacing w:after="200"/>
        <w:ind w:firstLine="708"/>
        <w:jc w:val="center"/>
        <w:rPr>
          <w:rFonts w:asciiTheme="minorHAnsi" w:hAnsiTheme="minorHAnsi" w:cstheme="minorHAnsi"/>
          <w:color w:val="000000"/>
          <w:lang w:val="es-ES"/>
        </w:rPr>
      </w:pPr>
      <w:r>
        <w:rPr>
          <w:rFonts w:asciiTheme="minorHAnsi" w:hAnsiTheme="minorHAnsi" w:cstheme="minorHAnsi"/>
          <w:noProof/>
          <w:color w:val="000000"/>
          <w:lang w:val="es-ES"/>
        </w:rPr>
        <w:drawing>
          <wp:inline distT="0" distB="0" distL="0" distR="0">
            <wp:extent cx="4626109" cy="3116912"/>
            <wp:effectExtent l="19050" t="0" r="3041" b="0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884" cy="3118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446" w:rsidRPr="007141AB" w:rsidRDefault="00F008BF" w:rsidP="00F27446">
      <w:pPr>
        <w:pStyle w:val="estilofiguras"/>
        <w:rPr>
          <w:lang w:val="es-ES"/>
        </w:rPr>
      </w:pPr>
      <w:bookmarkStart w:id="1" w:name="_Toc262167642"/>
      <w:r>
        <w:rPr>
          <w:lang w:val="es-ES"/>
        </w:rPr>
        <w:t>Fig. 4.11</w:t>
      </w:r>
      <w:r w:rsidR="00F27446" w:rsidRPr="007141AB">
        <w:rPr>
          <w:lang w:val="es-ES"/>
        </w:rPr>
        <w:t xml:space="preserve">: Localización </w:t>
      </w:r>
      <w:r>
        <w:rPr>
          <w:lang w:val="es-ES"/>
        </w:rPr>
        <w:t>Diamond Head</w:t>
      </w:r>
      <w:r w:rsidR="00F27446" w:rsidRPr="007141AB">
        <w:rPr>
          <w:lang w:val="es-ES"/>
        </w:rPr>
        <w:t>, Oahu, Hawái.</w:t>
      </w:r>
      <w:bookmarkEnd w:id="1"/>
    </w:p>
    <w:p w:rsidR="00F27446" w:rsidRPr="007141AB" w:rsidRDefault="00F27446" w:rsidP="00F27446">
      <w:pPr>
        <w:spacing w:after="200"/>
        <w:ind w:firstLine="708"/>
        <w:jc w:val="both"/>
        <w:rPr>
          <w:rFonts w:asciiTheme="minorHAnsi" w:hAnsiTheme="minorHAnsi" w:cstheme="minorHAnsi"/>
          <w:color w:val="000000"/>
          <w:lang w:val="es-ES"/>
        </w:rPr>
      </w:pPr>
      <w:r w:rsidRPr="007141AB">
        <w:rPr>
          <w:rFonts w:asciiTheme="minorHAnsi" w:hAnsiTheme="minorHAnsi" w:cstheme="minorHAnsi"/>
          <w:color w:val="000000"/>
          <w:lang w:val="es-ES"/>
        </w:rPr>
        <w:t xml:space="preserve">En las siguientes dos </w:t>
      </w:r>
      <w:r w:rsidR="00745D26">
        <w:rPr>
          <w:rFonts w:asciiTheme="minorHAnsi" w:hAnsiTheme="minorHAnsi" w:cstheme="minorHAnsi"/>
          <w:color w:val="000000"/>
          <w:lang w:val="es-ES"/>
        </w:rPr>
        <w:t>tablas 4.11 y 4.12</w:t>
      </w:r>
      <w:r w:rsidRPr="007141AB">
        <w:rPr>
          <w:rFonts w:asciiTheme="minorHAnsi" w:hAnsiTheme="minorHAnsi" w:cstheme="minorHAnsi"/>
          <w:color w:val="000000"/>
          <w:lang w:val="es-ES"/>
        </w:rPr>
        <w:t xml:space="preserve"> se muestra la correlación y MAE del modelo WAVEWATCH III y del clasificador (SVM) en contraste con las observaciones para la ola </w:t>
      </w:r>
      <w:r w:rsidR="00F008BF">
        <w:rPr>
          <w:rFonts w:asciiTheme="minorHAnsi" w:hAnsiTheme="minorHAnsi" w:cstheme="minorHAnsi"/>
          <w:color w:val="000000"/>
          <w:lang w:val="es-ES"/>
        </w:rPr>
        <w:t>Diamond Head</w:t>
      </w:r>
      <w:r w:rsidRPr="007141AB">
        <w:rPr>
          <w:rFonts w:asciiTheme="minorHAnsi" w:hAnsiTheme="minorHAnsi" w:cstheme="minorHAnsi"/>
          <w:color w:val="000000"/>
          <w:lang w:val="es-ES"/>
        </w:rPr>
        <w:t xml:space="preserve"> respectivamente.</w:t>
      </w:r>
    </w:p>
    <w:tbl>
      <w:tblPr>
        <w:tblStyle w:val="Tablaconcuadrcula"/>
        <w:tblW w:w="0" w:type="auto"/>
        <w:jc w:val="center"/>
        <w:tblInd w:w="-394" w:type="dxa"/>
        <w:tblLook w:val="04A0"/>
      </w:tblPr>
      <w:tblGrid>
        <w:gridCol w:w="2816"/>
        <w:gridCol w:w="2735"/>
      </w:tblGrid>
      <w:tr w:rsidR="00F27446" w:rsidRPr="007141AB" w:rsidTr="0036158C">
        <w:trPr>
          <w:jc w:val="center"/>
        </w:trPr>
        <w:tc>
          <w:tcPr>
            <w:tcW w:w="2816" w:type="dxa"/>
            <w:shd w:val="clear" w:color="auto" w:fill="D9D9D9" w:themeFill="background1" w:themeFillShade="D9"/>
          </w:tcPr>
          <w:p w:rsidR="00F27446" w:rsidRPr="007141AB" w:rsidRDefault="00F27446" w:rsidP="0036158C">
            <w:pPr>
              <w:spacing w:after="20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7141AB">
              <w:rPr>
                <w:rFonts w:asciiTheme="minorHAnsi" w:hAnsiTheme="minorHAnsi" w:cstheme="minorHAnsi"/>
                <w:color w:val="000000"/>
              </w:rPr>
              <w:t>Correlación WW3 / Obs. Visual</w:t>
            </w:r>
          </w:p>
        </w:tc>
        <w:tc>
          <w:tcPr>
            <w:tcW w:w="2735" w:type="dxa"/>
            <w:shd w:val="clear" w:color="auto" w:fill="D9D9D9" w:themeFill="background1" w:themeFillShade="D9"/>
          </w:tcPr>
          <w:p w:rsidR="00F27446" w:rsidRPr="007141AB" w:rsidRDefault="00F27446" w:rsidP="0036158C">
            <w:pPr>
              <w:spacing w:after="20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7141AB">
              <w:rPr>
                <w:rFonts w:asciiTheme="minorHAnsi" w:hAnsiTheme="minorHAnsi" w:cstheme="minorHAnsi"/>
                <w:color w:val="000000"/>
              </w:rPr>
              <w:t>Correlación SVM / Obs. Visual</w:t>
            </w:r>
          </w:p>
        </w:tc>
      </w:tr>
      <w:tr w:rsidR="00F27446" w:rsidRPr="007141AB" w:rsidTr="0036158C">
        <w:trPr>
          <w:jc w:val="center"/>
        </w:trPr>
        <w:tc>
          <w:tcPr>
            <w:tcW w:w="2816" w:type="dxa"/>
          </w:tcPr>
          <w:p w:rsidR="00F27446" w:rsidRPr="007141AB" w:rsidRDefault="00F27446" w:rsidP="0036158C">
            <w:pPr>
              <w:spacing w:after="20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7141AB">
              <w:rPr>
                <w:rFonts w:asciiTheme="minorHAnsi" w:hAnsiTheme="minorHAnsi" w:cstheme="minorHAnsi"/>
                <w:color w:val="000000"/>
              </w:rPr>
              <w:t>0%</w:t>
            </w:r>
          </w:p>
        </w:tc>
        <w:tc>
          <w:tcPr>
            <w:tcW w:w="2735" w:type="dxa"/>
          </w:tcPr>
          <w:p w:rsidR="00F27446" w:rsidRPr="007141AB" w:rsidRDefault="00221F58" w:rsidP="0036158C">
            <w:pPr>
              <w:spacing w:after="20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48</w:t>
            </w:r>
            <w:r w:rsidR="00F27446" w:rsidRPr="007141AB">
              <w:rPr>
                <w:rFonts w:asciiTheme="minorHAnsi" w:hAnsiTheme="minorHAnsi" w:cstheme="minorHAnsi"/>
                <w:color w:val="000000"/>
              </w:rPr>
              <w:t>%</w:t>
            </w:r>
          </w:p>
        </w:tc>
      </w:tr>
    </w:tbl>
    <w:p w:rsidR="00F27446" w:rsidRPr="007141AB" w:rsidRDefault="00F008BF" w:rsidP="00F27446">
      <w:pPr>
        <w:pStyle w:val="estilofiguras"/>
        <w:rPr>
          <w:lang w:val="es-ES"/>
        </w:rPr>
      </w:pPr>
      <w:bookmarkStart w:id="2" w:name="_Toc262167643"/>
      <w:r>
        <w:rPr>
          <w:lang w:val="es-ES"/>
        </w:rPr>
        <w:t>Tabla 4.11</w:t>
      </w:r>
      <w:r w:rsidR="00F27446" w:rsidRPr="007141AB">
        <w:rPr>
          <w:lang w:val="es-ES"/>
        </w:rPr>
        <w:t xml:space="preserve">: Correlación en </w:t>
      </w:r>
      <w:r>
        <w:rPr>
          <w:lang w:val="es-ES"/>
        </w:rPr>
        <w:t>Diamond Head</w:t>
      </w:r>
      <w:r w:rsidR="00F27446" w:rsidRPr="007141AB">
        <w:rPr>
          <w:lang w:val="es-ES"/>
        </w:rPr>
        <w:t>.</w:t>
      </w:r>
      <w:bookmarkEnd w:id="2"/>
    </w:p>
    <w:p w:rsidR="00F27446" w:rsidRPr="007141AB" w:rsidRDefault="00F27446" w:rsidP="00F27446">
      <w:pPr>
        <w:spacing w:after="200"/>
        <w:ind w:firstLine="708"/>
        <w:jc w:val="both"/>
        <w:rPr>
          <w:rFonts w:asciiTheme="minorHAnsi" w:hAnsiTheme="minorHAnsi" w:cstheme="minorHAnsi"/>
          <w:color w:val="000000"/>
          <w:lang w:val="es-ES"/>
        </w:rPr>
      </w:pPr>
    </w:p>
    <w:tbl>
      <w:tblPr>
        <w:tblStyle w:val="Tablaconcuadrcula"/>
        <w:tblW w:w="0" w:type="auto"/>
        <w:jc w:val="center"/>
        <w:tblLook w:val="04A0"/>
      </w:tblPr>
      <w:tblGrid>
        <w:gridCol w:w="2613"/>
        <w:gridCol w:w="2835"/>
      </w:tblGrid>
      <w:tr w:rsidR="00F27446" w:rsidRPr="007141AB" w:rsidTr="0036158C">
        <w:trPr>
          <w:trHeight w:val="378"/>
          <w:jc w:val="center"/>
        </w:trPr>
        <w:tc>
          <w:tcPr>
            <w:tcW w:w="2613" w:type="dxa"/>
            <w:shd w:val="clear" w:color="auto" w:fill="D9D9D9" w:themeFill="background1" w:themeFillShade="D9"/>
          </w:tcPr>
          <w:p w:rsidR="00F27446" w:rsidRPr="007141AB" w:rsidRDefault="00F27446" w:rsidP="0036158C">
            <w:pPr>
              <w:spacing w:after="20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7141AB">
              <w:rPr>
                <w:rFonts w:asciiTheme="minorHAnsi" w:hAnsiTheme="minorHAnsi" w:cstheme="minorHAnsi"/>
                <w:color w:val="000000"/>
              </w:rPr>
              <w:t>MAE WW3 / Obs. Visual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F27446" w:rsidRPr="007141AB" w:rsidRDefault="00F27446" w:rsidP="0036158C">
            <w:pPr>
              <w:spacing w:after="20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7141AB">
              <w:rPr>
                <w:rFonts w:asciiTheme="minorHAnsi" w:hAnsiTheme="minorHAnsi" w:cstheme="minorHAnsi"/>
                <w:color w:val="000000"/>
              </w:rPr>
              <w:t>MAE SVM / Obs. Visual</w:t>
            </w:r>
          </w:p>
        </w:tc>
      </w:tr>
      <w:tr w:rsidR="00F27446" w:rsidRPr="007141AB" w:rsidTr="0036158C">
        <w:trPr>
          <w:jc w:val="center"/>
        </w:trPr>
        <w:tc>
          <w:tcPr>
            <w:tcW w:w="2613" w:type="dxa"/>
          </w:tcPr>
          <w:p w:rsidR="00F27446" w:rsidRPr="007141AB" w:rsidRDefault="00221F58" w:rsidP="0036158C">
            <w:pPr>
              <w:spacing w:after="20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0.99</w:t>
            </w:r>
            <w:r w:rsidR="00F27446" w:rsidRPr="007141AB">
              <w:rPr>
                <w:rFonts w:asciiTheme="minorHAnsi" w:hAnsiTheme="minorHAnsi" w:cstheme="minorHAnsi"/>
                <w:color w:val="000000"/>
              </w:rPr>
              <w:t xml:space="preserve"> mts</w:t>
            </w:r>
          </w:p>
        </w:tc>
        <w:tc>
          <w:tcPr>
            <w:tcW w:w="2835" w:type="dxa"/>
          </w:tcPr>
          <w:p w:rsidR="00F27446" w:rsidRPr="007141AB" w:rsidRDefault="00221F58" w:rsidP="0036158C">
            <w:pPr>
              <w:spacing w:after="20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0.47</w:t>
            </w:r>
            <w:r w:rsidR="00F27446" w:rsidRPr="007141AB">
              <w:rPr>
                <w:rFonts w:asciiTheme="minorHAnsi" w:hAnsiTheme="minorHAnsi" w:cstheme="minorHAnsi"/>
                <w:color w:val="000000"/>
              </w:rPr>
              <w:t xml:space="preserve"> mts</w:t>
            </w:r>
          </w:p>
        </w:tc>
      </w:tr>
    </w:tbl>
    <w:p w:rsidR="00F27446" w:rsidRPr="007141AB" w:rsidRDefault="00F008BF" w:rsidP="00F27446">
      <w:pPr>
        <w:pStyle w:val="estilofiguras"/>
        <w:rPr>
          <w:lang w:val="es-ES"/>
        </w:rPr>
      </w:pPr>
      <w:bookmarkStart w:id="3" w:name="_Toc262167644"/>
      <w:r>
        <w:rPr>
          <w:lang w:val="es-ES"/>
        </w:rPr>
        <w:t>Tabla 4.12</w:t>
      </w:r>
      <w:r w:rsidR="00F27446" w:rsidRPr="007141AB">
        <w:rPr>
          <w:lang w:val="es-ES"/>
        </w:rPr>
        <w:t xml:space="preserve">: MAE en </w:t>
      </w:r>
      <w:r>
        <w:rPr>
          <w:lang w:val="es-ES"/>
        </w:rPr>
        <w:t>Diamond Head</w:t>
      </w:r>
      <w:r w:rsidR="00F27446" w:rsidRPr="007141AB">
        <w:rPr>
          <w:lang w:val="es-ES"/>
        </w:rPr>
        <w:t>.</w:t>
      </w:r>
      <w:bookmarkEnd w:id="3"/>
    </w:p>
    <w:p w:rsidR="00F27446" w:rsidRPr="007141AB" w:rsidRDefault="00F27446" w:rsidP="00F27446">
      <w:pPr>
        <w:spacing w:after="200"/>
        <w:ind w:firstLine="708"/>
        <w:jc w:val="both"/>
        <w:rPr>
          <w:rFonts w:asciiTheme="minorHAnsi" w:hAnsiTheme="minorHAnsi" w:cstheme="minorHAnsi"/>
          <w:color w:val="000000"/>
          <w:lang w:val="es-ES"/>
        </w:rPr>
      </w:pPr>
      <w:r w:rsidRPr="007141AB">
        <w:rPr>
          <w:rFonts w:asciiTheme="minorHAnsi" w:hAnsiTheme="minorHAnsi" w:cstheme="minorHAnsi"/>
          <w:color w:val="000000"/>
          <w:lang w:val="es-ES"/>
        </w:rPr>
        <w:t xml:space="preserve">A </w:t>
      </w:r>
      <w:r w:rsidR="00745D26">
        <w:rPr>
          <w:rFonts w:asciiTheme="minorHAnsi" w:hAnsiTheme="minorHAnsi" w:cstheme="minorHAnsi"/>
          <w:color w:val="000000"/>
          <w:lang w:val="es-ES"/>
        </w:rPr>
        <w:t>continuación, en las figuras 4.12 y 4.13</w:t>
      </w:r>
      <w:r w:rsidRPr="007141AB">
        <w:rPr>
          <w:rFonts w:asciiTheme="minorHAnsi" w:hAnsiTheme="minorHAnsi" w:cstheme="minorHAnsi"/>
          <w:color w:val="000000"/>
          <w:lang w:val="es-ES"/>
        </w:rPr>
        <w:t xml:space="preserve">, se grafican el valor de altura de ola predicho por cada uno de los sistemas en comparados con el valor de altura de ola reportado por el observador. </w:t>
      </w:r>
    </w:p>
    <w:p w:rsidR="00F27446" w:rsidRPr="007141AB" w:rsidRDefault="00F27446" w:rsidP="00F27446">
      <w:pPr>
        <w:spacing w:after="200"/>
        <w:ind w:firstLine="708"/>
        <w:jc w:val="both"/>
        <w:rPr>
          <w:rFonts w:asciiTheme="minorHAnsi" w:hAnsiTheme="minorHAnsi" w:cstheme="minorHAnsi"/>
          <w:color w:val="000000"/>
          <w:lang w:val="es-ES"/>
        </w:rPr>
      </w:pPr>
      <w:r w:rsidRPr="007141AB">
        <w:rPr>
          <w:rFonts w:asciiTheme="minorHAnsi" w:hAnsiTheme="minorHAnsi" w:cstheme="minorHAnsi"/>
          <w:color w:val="000000"/>
          <w:lang w:val="es-ES"/>
        </w:rPr>
        <w:t xml:space="preserve">Al </w:t>
      </w:r>
      <w:r w:rsidR="00745D26">
        <w:rPr>
          <w:rFonts w:asciiTheme="minorHAnsi" w:hAnsiTheme="minorHAnsi" w:cstheme="minorHAnsi"/>
          <w:color w:val="000000"/>
          <w:lang w:val="es-ES"/>
        </w:rPr>
        <w:t>mismo tiempo, en las figuras 4.14 y 4.15</w:t>
      </w:r>
      <w:r w:rsidRPr="007141AB">
        <w:rPr>
          <w:rFonts w:asciiTheme="minorHAnsi" w:hAnsiTheme="minorHAnsi" w:cstheme="minorHAnsi"/>
          <w:color w:val="000000"/>
          <w:lang w:val="es-ES"/>
        </w:rPr>
        <w:t>, muestran dos gráficos de dispersión que</w:t>
      </w:r>
      <w:r w:rsidR="00745D26">
        <w:rPr>
          <w:rFonts w:asciiTheme="minorHAnsi" w:hAnsiTheme="minorHAnsi" w:cstheme="minorHAnsi"/>
          <w:color w:val="000000"/>
          <w:lang w:val="es-ES"/>
        </w:rPr>
        <w:t xml:space="preserve"> relacionan las predicciones de</w:t>
      </w:r>
      <w:r w:rsidRPr="007141AB">
        <w:rPr>
          <w:rFonts w:asciiTheme="minorHAnsi" w:hAnsiTheme="minorHAnsi" w:cstheme="minorHAnsi"/>
          <w:color w:val="000000"/>
          <w:lang w:val="es-ES"/>
        </w:rPr>
        <w:t xml:space="preserve"> cada sistema junto a las observaciones costeras, brindando mejor visibilidad del margen de error de las predicciones. La línea verde representa los valores ideales en que los reportes del modelo son idénticos a lo observado en la costa. </w:t>
      </w:r>
    </w:p>
    <w:p w:rsidR="00F27446" w:rsidRPr="002504C5" w:rsidRDefault="00F27446" w:rsidP="00F27446">
      <w:pPr>
        <w:ind w:firstLine="708"/>
        <w:jc w:val="both"/>
        <w:rPr>
          <w:rFonts w:cstheme="minorHAnsi"/>
          <w:color w:val="000000"/>
          <w:lang w:val="es-ES"/>
        </w:rPr>
        <w:sectPr w:rsidR="00F27446" w:rsidRPr="002504C5" w:rsidSect="00470430">
          <w:headerReference w:type="default" r:id="rId5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02232A" w:rsidRPr="0002232A" w:rsidRDefault="0002232A" w:rsidP="0002232A">
      <w:pPr>
        <w:ind w:firstLine="708"/>
        <w:jc w:val="center"/>
        <w:rPr>
          <w:rFonts w:cstheme="minorHAnsi"/>
          <w:color w:val="000000"/>
          <w:lang w:val="es-ES"/>
        </w:rPr>
      </w:pPr>
      <w:r w:rsidRPr="0002232A">
        <w:rPr>
          <w:rFonts w:cstheme="minorHAnsi"/>
          <w:color w:val="000000"/>
          <w:lang w:val="es-ES"/>
        </w:rPr>
        <w:lastRenderedPageBreak/>
        <w:drawing>
          <wp:inline distT="0" distB="0" distL="0" distR="0">
            <wp:extent cx="8219655" cy="2216989"/>
            <wp:effectExtent l="19050" t="0" r="9945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4" w:name="_Toc262167645"/>
    </w:p>
    <w:p w:rsidR="00F27446" w:rsidRPr="002504C5" w:rsidRDefault="00F008BF" w:rsidP="00F27446">
      <w:pPr>
        <w:pStyle w:val="estilofiguras"/>
        <w:rPr>
          <w:lang w:val="es-ES"/>
        </w:rPr>
      </w:pPr>
      <w:r>
        <w:rPr>
          <w:lang w:val="es-ES"/>
        </w:rPr>
        <w:t>Fig. 4.12</w:t>
      </w:r>
      <w:r w:rsidR="00F27446" w:rsidRPr="002504C5">
        <w:rPr>
          <w:lang w:val="es-ES"/>
        </w:rPr>
        <w:t xml:space="preserve">: Altura de ola predicha en </w:t>
      </w:r>
      <w:r>
        <w:rPr>
          <w:lang w:val="es-ES"/>
        </w:rPr>
        <w:t>Diamond Head</w:t>
      </w:r>
      <w:r w:rsidR="00F27446" w:rsidRPr="002504C5">
        <w:rPr>
          <w:lang w:val="es-ES"/>
        </w:rPr>
        <w:t xml:space="preserve"> por WAVEWATCH III en contraste con las observaciones visuales en la costa.</w:t>
      </w:r>
      <w:bookmarkEnd w:id="4"/>
    </w:p>
    <w:p w:rsidR="00F27446" w:rsidRDefault="00F27446" w:rsidP="00F27446">
      <w:pPr>
        <w:ind w:firstLine="708"/>
        <w:jc w:val="center"/>
        <w:rPr>
          <w:rFonts w:cstheme="minorHAnsi"/>
          <w:color w:val="000000"/>
          <w:lang w:val="es-ES"/>
        </w:rPr>
      </w:pPr>
    </w:p>
    <w:p w:rsidR="00F27446" w:rsidRPr="002504C5" w:rsidRDefault="00F27446" w:rsidP="00F27446">
      <w:pPr>
        <w:ind w:firstLine="708"/>
        <w:jc w:val="center"/>
        <w:rPr>
          <w:rFonts w:cstheme="minorHAnsi"/>
          <w:color w:val="000000"/>
          <w:lang w:val="es-ES"/>
        </w:rPr>
      </w:pPr>
      <w:r w:rsidRPr="00614B16">
        <w:rPr>
          <w:rFonts w:cstheme="minorHAnsi"/>
          <w:noProof/>
          <w:color w:val="000000"/>
          <w:lang w:val="es-ES"/>
        </w:rPr>
        <w:drawing>
          <wp:inline distT="0" distB="0" distL="0" distR="0">
            <wp:extent cx="8232355" cy="2260121"/>
            <wp:effectExtent l="19050" t="0" r="16295" b="6829"/>
            <wp:docPr id="66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27446" w:rsidRPr="002504C5" w:rsidRDefault="00F008BF" w:rsidP="00F27446">
      <w:pPr>
        <w:pStyle w:val="estilofiguras"/>
        <w:rPr>
          <w:lang w:val="es-ES"/>
        </w:rPr>
        <w:sectPr w:rsidR="00F27446" w:rsidRPr="002504C5" w:rsidSect="00470430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  <w:bookmarkStart w:id="5" w:name="_Toc262167646"/>
      <w:r>
        <w:rPr>
          <w:lang w:val="es-ES"/>
        </w:rPr>
        <w:t>Fig. 4.13</w:t>
      </w:r>
      <w:r w:rsidR="00F27446" w:rsidRPr="002504C5">
        <w:rPr>
          <w:lang w:val="es-ES"/>
        </w:rPr>
        <w:t xml:space="preserve">: Altura de la ola predicha en </w:t>
      </w:r>
      <w:r>
        <w:rPr>
          <w:lang w:val="es-ES"/>
        </w:rPr>
        <w:t>Diamond Head</w:t>
      </w:r>
      <w:r w:rsidR="00F27446" w:rsidRPr="002504C5">
        <w:rPr>
          <w:lang w:val="es-ES"/>
        </w:rPr>
        <w:t xml:space="preserve"> por SVM en contraste con las observaciones visuales en la costa.</w:t>
      </w:r>
      <w:bookmarkEnd w:id="5"/>
    </w:p>
    <w:p w:rsidR="00F27446" w:rsidRDefault="007A645D" w:rsidP="00F27446">
      <w:pPr>
        <w:ind w:firstLine="708"/>
        <w:jc w:val="center"/>
        <w:rPr>
          <w:rFonts w:cstheme="minorHAnsi"/>
          <w:color w:val="000000"/>
          <w:lang w:val="es-ES"/>
        </w:rPr>
      </w:pPr>
      <w:r w:rsidRPr="007A645D">
        <w:rPr>
          <w:rFonts w:cstheme="minorHAnsi"/>
          <w:color w:val="000000"/>
          <w:lang w:val="es-ES"/>
        </w:rPr>
        <w:lastRenderedPageBreak/>
        <w:drawing>
          <wp:inline distT="0" distB="0" distL="0" distR="0">
            <wp:extent cx="5401531" cy="2918129"/>
            <wp:effectExtent l="19050" t="0" r="27719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45D26" w:rsidRPr="002504C5" w:rsidRDefault="00745D26" w:rsidP="00F27446">
      <w:pPr>
        <w:ind w:firstLine="708"/>
        <w:jc w:val="center"/>
        <w:rPr>
          <w:rFonts w:cstheme="minorHAnsi"/>
          <w:color w:val="000000"/>
          <w:lang w:val="es-ES"/>
        </w:rPr>
      </w:pPr>
    </w:p>
    <w:p w:rsidR="00F27446" w:rsidRPr="002504C5" w:rsidRDefault="00F008BF" w:rsidP="00F27446">
      <w:pPr>
        <w:pStyle w:val="estilofiguras"/>
        <w:rPr>
          <w:lang w:val="es-ES"/>
        </w:rPr>
      </w:pPr>
      <w:bookmarkStart w:id="6" w:name="_Toc262167647"/>
      <w:r>
        <w:rPr>
          <w:lang w:val="es-ES"/>
        </w:rPr>
        <w:t>Fig. 4.14</w:t>
      </w:r>
      <w:r w:rsidR="00F27446" w:rsidRPr="002504C5">
        <w:rPr>
          <w:lang w:val="es-ES"/>
        </w:rPr>
        <w:t xml:space="preserve">: Grafico de dispersión (en base a la altura de las olas) en </w:t>
      </w:r>
      <w:r>
        <w:rPr>
          <w:lang w:val="es-ES"/>
        </w:rPr>
        <w:t>Diamond Head</w:t>
      </w:r>
      <w:r w:rsidR="00F27446" w:rsidRPr="002504C5">
        <w:rPr>
          <w:lang w:val="es-ES"/>
        </w:rPr>
        <w:t xml:space="preserve"> entre las predicciones de WAVEWATCH III y las observaciones costeras.</w:t>
      </w:r>
      <w:bookmarkEnd w:id="6"/>
    </w:p>
    <w:p w:rsidR="00F27446" w:rsidRPr="002504C5" w:rsidRDefault="00F27446" w:rsidP="00F27446">
      <w:pPr>
        <w:ind w:firstLine="708"/>
        <w:jc w:val="both"/>
        <w:rPr>
          <w:rFonts w:cstheme="minorHAnsi"/>
          <w:color w:val="000000"/>
          <w:lang w:val="es-ES"/>
        </w:rPr>
      </w:pPr>
    </w:p>
    <w:p w:rsidR="00F27446" w:rsidRPr="002504C5" w:rsidRDefault="007A645D" w:rsidP="00F27446">
      <w:pPr>
        <w:ind w:firstLine="708"/>
        <w:jc w:val="center"/>
        <w:rPr>
          <w:rFonts w:cstheme="minorHAnsi"/>
          <w:color w:val="000000"/>
          <w:lang w:val="es-ES"/>
        </w:rPr>
      </w:pPr>
      <w:r w:rsidRPr="007A645D">
        <w:rPr>
          <w:rFonts w:cstheme="minorHAnsi"/>
          <w:color w:val="000000"/>
          <w:lang w:val="es-ES"/>
        </w:rPr>
        <w:drawing>
          <wp:inline distT="0" distB="0" distL="0" distR="0">
            <wp:extent cx="5400289" cy="3156032"/>
            <wp:effectExtent l="19050" t="0" r="9911" b="6268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27446" w:rsidRPr="002504C5" w:rsidRDefault="00F008BF" w:rsidP="00F27446">
      <w:pPr>
        <w:pStyle w:val="estilofiguras"/>
        <w:rPr>
          <w:lang w:val="es-ES"/>
        </w:rPr>
      </w:pPr>
      <w:bookmarkStart w:id="7" w:name="_Toc262167648"/>
      <w:r>
        <w:rPr>
          <w:lang w:val="es-ES"/>
        </w:rPr>
        <w:t>Fig. 4.15</w:t>
      </w:r>
      <w:r w:rsidR="00F27446" w:rsidRPr="002504C5">
        <w:rPr>
          <w:lang w:val="es-ES"/>
        </w:rPr>
        <w:t xml:space="preserve">: Grafico de dispersión (en base a la altura de las olas) en </w:t>
      </w:r>
      <w:r>
        <w:rPr>
          <w:lang w:val="es-ES"/>
        </w:rPr>
        <w:t>Diamond Head</w:t>
      </w:r>
      <w:r w:rsidR="00F27446" w:rsidRPr="002504C5">
        <w:rPr>
          <w:lang w:val="es-ES"/>
        </w:rPr>
        <w:t xml:space="preserve"> entre las predicciones de SVM y las observaciones costeras.</w:t>
      </w:r>
      <w:bookmarkEnd w:id="7"/>
    </w:p>
    <w:p w:rsidR="00F27446" w:rsidRPr="007141AB" w:rsidRDefault="00727C32" w:rsidP="00F27446">
      <w:pPr>
        <w:ind w:firstLine="708"/>
        <w:jc w:val="both"/>
        <w:rPr>
          <w:rFonts w:asciiTheme="minorHAnsi" w:hAnsiTheme="minorHAnsi" w:cstheme="minorHAnsi"/>
          <w:color w:val="000000"/>
          <w:lang w:val="es-ES"/>
        </w:rPr>
      </w:pPr>
      <w:r>
        <w:rPr>
          <w:rFonts w:asciiTheme="minorHAnsi" w:hAnsiTheme="minorHAnsi" w:cstheme="minorHAnsi"/>
          <w:color w:val="000000"/>
          <w:lang w:val="es-ES"/>
        </w:rPr>
        <w:t>Similar a Ala Moana</w:t>
      </w:r>
      <w:r w:rsidR="00F27446" w:rsidRPr="007141AB">
        <w:rPr>
          <w:rFonts w:asciiTheme="minorHAnsi" w:hAnsiTheme="minorHAnsi" w:cstheme="minorHAnsi"/>
          <w:color w:val="000000"/>
          <w:lang w:val="es-ES"/>
        </w:rPr>
        <w:t xml:space="preserve"> </w:t>
      </w:r>
      <w:r>
        <w:rPr>
          <w:rFonts w:asciiTheme="minorHAnsi" w:hAnsiTheme="minorHAnsi" w:cstheme="minorHAnsi"/>
          <w:color w:val="000000"/>
          <w:lang w:val="es-ES"/>
        </w:rPr>
        <w:t>las tablas 4.11 y 4.12</w:t>
      </w:r>
      <w:r w:rsidR="00F27446" w:rsidRPr="007141AB">
        <w:rPr>
          <w:rFonts w:asciiTheme="minorHAnsi" w:hAnsiTheme="minorHAnsi" w:cstheme="minorHAnsi"/>
          <w:color w:val="000000"/>
          <w:lang w:val="es-ES"/>
        </w:rPr>
        <w:t xml:space="preserve"> muestran un incre</w:t>
      </w:r>
      <w:r>
        <w:rPr>
          <w:rFonts w:asciiTheme="minorHAnsi" w:hAnsiTheme="minorHAnsi" w:cstheme="minorHAnsi"/>
          <w:color w:val="000000"/>
          <w:lang w:val="es-ES"/>
        </w:rPr>
        <w:t>mento en la correlación de un 48</w:t>
      </w:r>
      <w:r w:rsidR="00F27446" w:rsidRPr="007141AB">
        <w:rPr>
          <w:rFonts w:asciiTheme="minorHAnsi" w:hAnsiTheme="minorHAnsi" w:cstheme="minorHAnsi"/>
          <w:color w:val="000000"/>
          <w:lang w:val="es-ES"/>
        </w:rPr>
        <w:t xml:space="preserve">% y una disminución del error absoluto promedio de </w:t>
      </w:r>
      <w:r>
        <w:rPr>
          <w:rFonts w:asciiTheme="minorHAnsi" w:hAnsiTheme="minorHAnsi" w:cstheme="minorHAnsi"/>
          <w:color w:val="000000"/>
          <w:lang w:val="es-ES"/>
        </w:rPr>
        <w:t>42</w:t>
      </w:r>
      <w:r w:rsidR="00F27446" w:rsidRPr="007141AB">
        <w:rPr>
          <w:rFonts w:asciiTheme="minorHAnsi" w:hAnsiTheme="minorHAnsi" w:cstheme="minorHAnsi"/>
          <w:color w:val="000000"/>
          <w:lang w:val="es-ES"/>
        </w:rPr>
        <w:t xml:space="preserve"> cm, es decir una mejora de un </w:t>
      </w:r>
      <w:r>
        <w:rPr>
          <w:rFonts w:asciiTheme="minorHAnsi" w:hAnsiTheme="minorHAnsi" w:cstheme="minorHAnsi"/>
          <w:color w:val="000000"/>
          <w:lang w:val="es-ES"/>
        </w:rPr>
        <w:t>47</w:t>
      </w:r>
      <w:r w:rsidR="00F27446" w:rsidRPr="007141AB">
        <w:rPr>
          <w:rFonts w:asciiTheme="minorHAnsi" w:hAnsiTheme="minorHAnsi" w:cstheme="minorHAnsi"/>
          <w:color w:val="000000"/>
          <w:lang w:val="es-ES"/>
        </w:rPr>
        <w:t xml:space="preserve">% en el error absoluto medio. </w:t>
      </w:r>
      <w:r>
        <w:rPr>
          <w:rFonts w:asciiTheme="minorHAnsi" w:hAnsiTheme="minorHAnsi" w:cstheme="minorHAnsi"/>
          <w:color w:val="000000"/>
          <w:lang w:val="es-ES"/>
        </w:rPr>
        <w:t>Nuevamente pasamos de tener un predictor que obtiene un 0% de correlación a uno que resulta en un 48%</w:t>
      </w:r>
      <w:r w:rsidR="00F27446" w:rsidRPr="007141AB">
        <w:rPr>
          <w:rFonts w:asciiTheme="minorHAnsi" w:hAnsiTheme="minorHAnsi" w:cstheme="minorHAnsi"/>
          <w:color w:val="000000"/>
          <w:lang w:val="es-ES"/>
        </w:rPr>
        <w:t>.</w:t>
      </w:r>
    </w:p>
    <w:p w:rsidR="00F27446" w:rsidRDefault="00F27446" w:rsidP="00F27446">
      <w:pPr>
        <w:ind w:firstLine="708"/>
        <w:jc w:val="both"/>
        <w:rPr>
          <w:rFonts w:asciiTheme="minorHAnsi" w:hAnsiTheme="minorHAnsi" w:cstheme="minorHAnsi"/>
          <w:color w:val="000000"/>
          <w:lang w:val="es-ES"/>
        </w:rPr>
      </w:pPr>
      <w:r w:rsidRPr="007141AB">
        <w:rPr>
          <w:rFonts w:asciiTheme="minorHAnsi" w:hAnsiTheme="minorHAnsi" w:cstheme="minorHAnsi"/>
          <w:color w:val="000000"/>
          <w:lang w:val="es-ES"/>
        </w:rPr>
        <w:t xml:space="preserve">En los  gráficos de dispersión, </w:t>
      </w:r>
      <w:r w:rsidR="00727C32">
        <w:rPr>
          <w:rFonts w:asciiTheme="minorHAnsi" w:hAnsiTheme="minorHAnsi" w:cstheme="minorHAnsi"/>
          <w:color w:val="000000"/>
          <w:lang w:val="es-ES"/>
        </w:rPr>
        <w:t>se hace más notoria aun la mejora que en Ala Moana, las observaciones se agrupan muy cerca del ideal.</w:t>
      </w:r>
    </w:p>
    <w:p w:rsidR="00487F13" w:rsidRDefault="00487F13" w:rsidP="00F27446">
      <w:pPr>
        <w:jc w:val="both"/>
      </w:pPr>
    </w:p>
    <w:sectPr w:rsidR="00487F13" w:rsidSect="00487F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bany">
    <w:altName w:val="Arial"/>
    <w:charset w:val="00"/>
    <w:family w:val="swiss"/>
    <w:pitch w:val="variable"/>
    <w:sig w:usb0="00000000" w:usb1="00000000" w:usb2="00000000" w:usb3="00000000" w:csb0="00000000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7CCE" w:rsidRPr="008B0111" w:rsidRDefault="00727C32">
    <w:pPr>
      <w:pStyle w:val="Encabezado"/>
      <w:rPr>
        <w:rFonts w:asciiTheme="minorHAnsi" w:hAnsiTheme="minorHAnsi" w:cstheme="minorHAnsi"/>
        <w:sz w:val="24"/>
        <w:szCs w:val="24"/>
      </w:rPr>
    </w:pPr>
    <w:r>
      <w:rPr>
        <w:rFonts w:asciiTheme="minorHAnsi" w:hAnsiTheme="minorHAnsi" w:cstheme="minorHAnsi"/>
        <w:sz w:val="24"/>
        <w:szCs w:val="24"/>
      </w:rPr>
      <w:t>Capitulo 4 – Experimentación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27446"/>
    <w:rsid w:val="0002232A"/>
    <w:rsid w:val="001F031D"/>
    <w:rsid w:val="00221F58"/>
    <w:rsid w:val="00487F13"/>
    <w:rsid w:val="00576DEB"/>
    <w:rsid w:val="005F1189"/>
    <w:rsid w:val="00727C32"/>
    <w:rsid w:val="00745D26"/>
    <w:rsid w:val="007A645D"/>
    <w:rsid w:val="00BF60DA"/>
    <w:rsid w:val="00F008BF"/>
    <w:rsid w:val="00F27446"/>
    <w:rsid w:val="00FE0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446"/>
    <w:pPr>
      <w:spacing w:after="0"/>
      <w:jc w:val="left"/>
    </w:pPr>
    <w:rPr>
      <w:rFonts w:ascii="Times New Roman" w:eastAsia="Times New Roman" w:hAnsi="Times New Roman" w:cs="Times New Roman"/>
      <w:sz w:val="20"/>
      <w:szCs w:val="20"/>
      <w:lang w:val="es-AR" w:eastAsia="es-ES"/>
    </w:rPr>
  </w:style>
  <w:style w:type="paragraph" w:styleId="Ttulo3">
    <w:name w:val="heading 3"/>
    <w:basedOn w:val="Normal"/>
    <w:next w:val="Textoindependiente"/>
    <w:link w:val="Ttulo3Car"/>
    <w:qFormat/>
    <w:rsid w:val="00F27446"/>
    <w:pPr>
      <w:keepNext/>
      <w:widowControl w:val="0"/>
      <w:tabs>
        <w:tab w:val="num" w:pos="0"/>
      </w:tabs>
      <w:suppressAutoHyphens/>
      <w:spacing w:before="240" w:after="283"/>
      <w:ind w:right="86"/>
      <w:outlineLvl w:val="2"/>
    </w:pPr>
    <w:rPr>
      <w:rFonts w:ascii="Albany" w:eastAsia="HG Mincho Light J" w:hAnsi="Albany" w:cs="Arial Unicode MS"/>
      <w:b/>
      <w:bCs/>
      <w:sz w:val="28"/>
      <w:szCs w:val="28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F27446"/>
    <w:rPr>
      <w:rFonts w:ascii="Albany" w:eastAsia="HG Mincho Light J" w:hAnsi="Albany" w:cs="Arial Unicode MS"/>
      <w:b/>
      <w:bCs/>
      <w:sz w:val="28"/>
      <w:szCs w:val="28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2744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27446"/>
    <w:rPr>
      <w:rFonts w:ascii="Times New Roman" w:eastAsia="Times New Roman" w:hAnsi="Times New Roman" w:cs="Times New Roman"/>
      <w:sz w:val="20"/>
      <w:szCs w:val="20"/>
      <w:lang w:val="es-AR" w:eastAsia="es-ES"/>
    </w:rPr>
  </w:style>
  <w:style w:type="table" w:styleId="Tablaconcuadrcula">
    <w:name w:val="Table Grid"/>
    <w:basedOn w:val="Tablanormal"/>
    <w:uiPriority w:val="59"/>
    <w:rsid w:val="00F27446"/>
    <w:pPr>
      <w:spacing w:after="0"/>
      <w:jc w:val="left"/>
    </w:pPr>
    <w:rPr>
      <w:rFonts w:ascii="Calibri" w:eastAsia="Calibri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figuras">
    <w:name w:val="estilo figuras"/>
    <w:basedOn w:val="Epgrafe"/>
    <w:link w:val="estilofigurasCar"/>
    <w:qFormat/>
    <w:rsid w:val="00F27446"/>
    <w:pPr>
      <w:jc w:val="center"/>
    </w:pPr>
    <w:rPr>
      <w:rFonts w:asciiTheme="minorHAnsi" w:eastAsia="Calibri" w:hAnsiTheme="minorHAnsi" w:cstheme="minorHAnsi"/>
      <w:b w:val="0"/>
      <w:color w:val="auto"/>
      <w:sz w:val="20"/>
      <w:szCs w:val="20"/>
      <w:lang w:eastAsia="en-US"/>
    </w:rPr>
  </w:style>
  <w:style w:type="character" w:customStyle="1" w:styleId="estilofigurasCar">
    <w:name w:val="estilo figuras Car"/>
    <w:basedOn w:val="Fuentedeprrafopredeter"/>
    <w:link w:val="estilofiguras"/>
    <w:rsid w:val="00F27446"/>
    <w:rPr>
      <w:rFonts w:eastAsia="Calibri" w:cstheme="minorHAnsi"/>
      <w:bCs/>
      <w:sz w:val="20"/>
      <w:szCs w:val="20"/>
      <w:lang w:val="es-AR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2744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27446"/>
    <w:rPr>
      <w:rFonts w:ascii="Times New Roman" w:eastAsia="Times New Roman" w:hAnsi="Times New Roman" w:cs="Times New Roman"/>
      <w:sz w:val="20"/>
      <w:szCs w:val="20"/>
      <w:lang w:val="es-AR" w:eastAsia="es-ES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27446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744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7446"/>
    <w:rPr>
      <w:rFonts w:ascii="Tahoma" w:eastAsia="Times New Roman" w:hAnsi="Tahoma" w:cs="Tahoma"/>
      <w:sz w:val="16"/>
      <w:szCs w:val="16"/>
      <w:lang w:val="es-AR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header" Target="header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space\Tesis\ArfGen\docs\Entregas\Informe%20Final\capitulo%204\ultimo\dh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space\Tesis\ArfGen\docs\Entregas\Informe%20Final\capitulo%204\ultimo\dh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space\Tesis\ArfGen\docs\Entregas\Informe%20Final\capitulo%204\ultimo\dh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space\Tesis\ArfGen\docs\Entregas\Informe%20Final\capitulo%204\ultimo\dh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chart>
    <c:title>
      <c:tx>
        <c:rich>
          <a:bodyPr/>
          <a:lstStyle/>
          <a:p>
            <a:pPr>
              <a:defRPr lang="es-AR"/>
            </a:pPr>
            <a:r>
              <a:rPr lang="es-AR" sz="1200" b="0" i="0" baseline="0"/>
              <a:t>Diamond Head Observación Visual / Wave Watch III</a:t>
            </a:r>
          </a:p>
        </c:rich>
      </c:tx>
    </c:title>
    <c:plotArea>
      <c:layout>
        <c:manualLayout>
          <c:layoutTarget val="inner"/>
          <c:xMode val="edge"/>
          <c:yMode val="edge"/>
          <c:x val="5.0128971669717602E-2"/>
          <c:y val="0.16285573489051136"/>
          <c:w val="0.91229087688864363"/>
          <c:h val="0.42844667523761953"/>
        </c:manualLayout>
      </c:layout>
      <c:scatterChart>
        <c:scatterStyle val="lineMarker"/>
        <c:ser>
          <c:idx val="0"/>
          <c:order val="0"/>
          <c:tx>
            <c:v>Observacion Visual</c:v>
          </c:tx>
          <c:xVal>
            <c:strRef>
              <c:f>Sheet1!$A$1:$A$64</c:f>
              <c:strCache>
                <c:ptCount val="64"/>
                <c:pt idx="0">
                  <c:v>inst#,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</c:strCache>
            </c:strRef>
          </c:xVal>
          <c:yVal>
            <c:numRef>
              <c:f>Sheet1!$B$1:$B$64</c:f>
              <c:numCache>
                <c:formatCode>General</c:formatCode>
                <c:ptCount val="64"/>
                <c:pt idx="0">
                  <c:v>0</c:v>
                </c:pt>
                <c:pt idx="1">
                  <c:v>1.829</c:v>
                </c:pt>
                <c:pt idx="2">
                  <c:v>0.6100000000000001</c:v>
                </c:pt>
                <c:pt idx="3">
                  <c:v>1.829</c:v>
                </c:pt>
                <c:pt idx="4">
                  <c:v>1.829</c:v>
                </c:pt>
                <c:pt idx="5">
                  <c:v>1.2189999999999999</c:v>
                </c:pt>
                <c:pt idx="6">
                  <c:v>2.4379999999999997</c:v>
                </c:pt>
                <c:pt idx="7">
                  <c:v>1.829</c:v>
                </c:pt>
                <c:pt idx="8">
                  <c:v>3.6579999999999999</c:v>
                </c:pt>
                <c:pt idx="9">
                  <c:v>1.2189999999999999</c:v>
                </c:pt>
                <c:pt idx="10">
                  <c:v>1.2189999999999999</c:v>
                </c:pt>
                <c:pt idx="11">
                  <c:v>1.829</c:v>
                </c:pt>
                <c:pt idx="12">
                  <c:v>1.829</c:v>
                </c:pt>
                <c:pt idx="13">
                  <c:v>1.829</c:v>
                </c:pt>
                <c:pt idx="14">
                  <c:v>2.4379999999999997</c:v>
                </c:pt>
                <c:pt idx="15">
                  <c:v>1.2189999999999999</c:v>
                </c:pt>
                <c:pt idx="16">
                  <c:v>1.829</c:v>
                </c:pt>
                <c:pt idx="17">
                  <c:v>1.829</c:v>
                </c:pt>
                <c:pt idx="18">
                  <c:v>1.2189999999999999</c:v>
                </c:pt>
                <c:pt idx="19">
                  <c:v>1.2189999999999999</c:v>
                </c:pt>
                <c:pt idx="20">
                  <c:v>1.2189999999999999</c:v>
                </c:pt>
                <c:pt idx="21">
                  <c:v>1.2189999999999999</c:v>
                </c:pt>
                <c:pt idx="22">
                  <c:v>3.6579999999999999</c:v>
                </c:pt>
                <c:pt idx="23">
                  <c:v>2.4379999999999997</c:v>
                </c:pt>
                <c:pt idx="24">
                  <c:v>1.2189999999999999</c:v>
                </c:pt>
                <c:pt idx="25">
                  <c:v>1.2189999999999999</c:v>
                </c:pt>
                <c:pt idx="26">
                  <c:v>2.4379999999999997</c:v>
                </c:pt>
                <c:pt idx="27">
                  <c:v>1.2189999999999999</c:v>
                </c:pt>
                <c:pt idx="28">
                  <c:v>1.2189999999999999</c:v>
                </c:pt>
                <c:pt idx="29">
                  <c:v>1.2189999999999999</c:v>
                </c:pt>
                <c:pt idx="30">
                  <c:v>1.829</c:v>
                </c:pt>
                <c:pt idx="31">
                  <c:v>1.829</c:v>
                </c:pt>
                <c:pt idx="32">
                  <c:v>2.4379999999999997</c:v>
                </c:pt>
                <c:pt idx="33">
                  <c:v>1.829</c:v>
                </c:pt>
                <c:pt idx="34">
                  <c:v>1.2189999999999999</c:v>
                </c:pt>
                <c:pt idx="35">
                  <c:v>1.2189999999999999</c:v>
                </c:pt>
                <c:pt idx="36">
                  <c:v>3.048</c:v>
                </c:pt>
                <c:pt idx="37">
                  <c:v>1.2189999999999999</c:v>
                </c:pt>
                <c:pt idx="38">
                  <c:v>2.4379999999999997</c:v>
                </c:pt>
                <c:pt idx="39">
                  <c:v>1.829</c:v>
                </c:pt>
                <c:pt idx="40">
                  <c:v>2.4379999999999997</c:v>
                </c:pt>
                <c:pt idx="41">
                  <c:v>1.2189999999999999</c:v>
                </c:pt>
                <c:pt idx="42">
                  <c:v>1.829</c:v>
                </c:pt>
                <c:pt idx="43">
                  <c:v>2.4379999999999997</c:v>
                </c:pt>
                <c:pt idx="44">
                  <c:v>1.829</c:v>
                </c:pt>
                <c:pt idx="45">
                  <c:v>1.829</c:v>
                </c:pt>
                <c:pt idx="46">
                  <c:v>1.829</c:v>
                </c:pt>
                <c:pt idx="47">
                  <c:v>1.829</c:v>
                </c:pt>
                <c:pt idx="48">
                  <c:v>1.829</c:v>
                </c:pt>
                <c:pt idx="49">
                  <c:v>2.4379999999999997</c:v>
                </c:pt>
                <c:pt idx="50">
                  <c:v>1.2189999999999999</c:v>
                </c:pt>
                <c:pt idx="51">
                  <c:v>0.6100000000000001</c:v>
                </c:pt>
                <c:pt idx="52">
                  <c:v>1.829</c:v>
                </c:pt>
                <c:pt idx="53">
                  <c:v>1.2189999999999999</c:v>
                </c:pt>
                <c:pt idx="54">
                  <c:v>0.6100000000000001</c:v>
                </c:pt>
                <c:pt idx="55">
                  <c:v>1.829</c:v>
                </c:pt>
                <c:pt idx="56">
                  <c:v>1.2189999999999999</c:v>
                </c:pt>
                <c:pt idx="57">
                  <c:v>2.4379999999999997</c:v>
                </c:pt>
                <c:pt idx="58">
                  <c:v>1.829</c:v>
                </c:pt>
                <c:pt idx="59">
                  <c:v>2.4379999999999997</c:v>
                </c:pt>
                <c:pt idx="60">
                  <c:v>1.829</c:v>
                </c:pt>
                <c:pt idx="61">
                  <c:v>1.829</c:v>
                </c:pt>
                <c:pt idx="62">
                  <c:v>1.2189999999999999</c:v>
                </c:pt>
                <c:pt idx="63">
                  <c:v>1.2189999999999999</c:v>
                </c:pt>
              </c:numCache>
            </c:numRef>
          </c:yVal>
        </c:ser>
        <c:ser>
          <c:idx val="1"/>
          <c:order val="1"/>
          <c:tx>
            <c:v>Prediccion Wave Watch 3</c:v>
          </c:tx>
          <c:spPr>
            <a:ln w="22225"/>
          </c:spPr>
          <c:marker>
            <c:symbol val="diamond"/>
            <c:size val="4"/>
          </c:marker>
          <c:xVal>
            <c:strRef>
              <c:f>Sheet1!$A$1:$A$64</c:f>
              <c:strCache>
                <c:ptCount val="64"/>
                <c:pt idx="0">
                  <c:v>inst#,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</c:strCache>
            </c:strRef>
          </c:xVal>
          <c:yVal>
            <c:numRef>
              <c:f>Sheet1!$E$1:$E$64</c:f>
              <c:numCache>
                <c:formatCode>General</c:formatCode>
                <c:ptCount val="64"/>
                <c:pt idx="0">
                  <c:v>0</c:v>
                </c:pt>
                <c:pt idx="1">
                  <c:v>1.83</c:v>
                </c:pt>
                <c:pt idx="2">
                  <c:v>3.16</c:v>
                </c:pt>
                <c:pt idx="3">
                  <c:v>4.2699999999999996</c:v>
                </c:pt>
                <c:pt idx="4">
                  <c:v>2.12</c:v>
                </c:pt>
                <c:pt idx="5">
                  <c:v>2.27</c:v>
                </c:pt>
                <c:pt idx="6">
                  <c:v>1.62</c:v>
                </c:pt>
                <c:pt idx="7">
                  <c:v>1.86</c:v>
                </c:pt>
                <c:pt idx="8">
                  <c:v>2</c:v>
                </c:pt>
                <c:pt idx="9">
                  <c:v>2.3699999999999997</c:v>
                </c:pt>
                <c:pt idx="10">
                  <c:v>1.72</c:v>
                </c:pt>
                <c:pt idx="11">
                  <c:v>2.8499999999999996</c:v>
                </c:pt>
                <c:pt idx="12">
                  <c:v>1.35</c:v>
                </c:pt>
                <c:pt idx="13">
                  <c:v>1.8</c:v>
                </c:pt>
                <c:pt idx="14">
                  <c:v>2.38</c:v>
                </c:pt>
                <c:pt idx="15">
                  <c:v>3.2</c:v>
                </c:pt>
                <c:pt idx="16">
                  <c:v>1.9200000000000002</c:v>
                </c:pt>
                <c:pt idx="17">
                  <c:v>1.43</c:v>
                </c:pt>
                <c:pt idx="18">
                  <c:v>1.76</c:v>
                </c:pt>
                <c:pt idx="19">
                  <c:v>1.32</c:v>
                </c:pt>
                <c:pt idx="20">
                  <c:v>2.9899999999999998</c:v>
                </c:pt>
                <c:pt idx="21">
                  <c:v>2.9099999999999997</c:v>
                </c:pt>
                <c:pt idx="22">
                  <c:v>1.85</c:v>
                </c:pt>
                <c:pt idx="23">
                  <c:v>1.3800000000000001</c:v>
                </c:pt>
                <c:pt idx="24">
                  <c:v>2.8899999999999997</c:v>
                </c:pt>
                <c:pt idx="25">
                  <c:v>1.52</c:v>
                </c:pt>
                <c:pt idx="26">
                  <c:v>1.9900000000000002</c:v>
                </c:pt>
                <c:pt idx="27">
                  <c:v>2.9499999999999997</c:v>
                </c:pt>
                <c:pt idx="28">
                  <c:v>2.08</c:v>
                </c:pt>
                <c:pt idx="29">
                  <c:v>2.5299999999999998</c:v>
                </c:pt>
                <c:pt idx="30">
                  <c:v>2.2000000000000002</c:v>
                </c:pt>
                <c:pt idx="31">
                  <c:v>1.46</c:v>
                </c:pt>
                <c:pt idx="32">
                  <c:v>5.9</c:v>
                </c:pt>
                <c:pt idx="33">
                  <c:v>2.8899999999999997</c:v>
                </c:pt>
                <c:pt idx="34">
                  <c:v>3.09</c:v>
                </c:pt>
                <c:pt idx="35">
                  <c:v>2.5099999999999998</c:v>
                </c:pt>
                <c:pt idx="36">
                  <c:v>1.9800000000000002</c:v>
                </c:pt>
                <c:pt idx="37">
                  <c:v>2.27</c:v>
                </c:pt>
                <c:pt idx="38">
                  <c:v>1.8</c:v>
                </c:pt>
                <c:pt idx="39">
                  <c:v>2.0699999999999998</c:v>
                </c:pt>
                <c:pt idx="40">
                  <c:v>2.0099999999999998</c:v>
                </c:pt>
                <c:pt idx="41">
                  <c:v>2.92</c:v>
                </c:pt>
                <c:pt idx="42">
                  <c:v>1.74</c:v>
                </c:pt>
                <c:pt idx="43">
                  <c:v>2.5299999999999998</c:v>
                </c:pt>
                <c:pt idx="44">
                  <c:v>1.57</c:v>
                </c:pt>
                <c:pt idx="45">
                  <c:v>1.9200000000000002</c:v>
                </c:pt>
                <c:pt idx="46">
                  <c:v>4.22</c:v>
                </c:pt>
                <c:pt idx="47">
                  <c:v>1.47</c:v>
                </c:pt>
                <c:pt idx="48">
                  <c:v>1.9000000000000001</c:v>
                </c:pt>
                <c:pt idx="49">
                  <c:v>5.2700000000000005</c:v>
                </c:pt>
                <c:pt idx="50">
                  <c:v>2.36</c:v>
                </c:pt>
                <c:pt idx="51">
                  <c:v>3.1</c:v>
                </c:pt>
                <c:pt idx="52">
                  <c:v>4.8499999999999996</c:v>
                </c:pt>
                <c:pt idx="53">
                  <c:v>1.6700000000000002</c:v>
                </c:pt>
                <c:pt idx="54">
                  <c:v>2.4499999999999997</c:v>
                </c:pt>
                <c:pt idx="55">
                  <c:v>1.9000000000000001</c:v>
                </c:pt>
                <c:pt idx="56">
                  <c:v>2.74</c:v>
                </c:pt>
                <c:pt idx="57">
                  <c:v>2.0299999999999998</c:v>
                </c:pt>
                <c:pt idx="58">
                  <c:v>5.33</c:v>
                </c:pt>
                <c:pt idx="59">
                  <c:v>3.68</c:v>
                </c:pt>
                <c:pt idx="60">
                  <c:v>2.52</c:v>
                </c:pt>
                <c:pt idx="61">
                  <c:v>2.69</c:v>
                </c:pt>
                <c:pt idx="62">
                  <c:v>1.8800000000000001</c:v>
                </c:pt>
                <c:pt idx="63">
                  <c:v>3.13</c:v>
                </c:pt>
              </c:numCache>
            </c:numRef>
          </c:yVal>
        </c:ser>
        <c:axId val="50748416"/>
        <c:axId val="50759936"/>
      </c:scatterChart>
      <c:valAx>
        <c:axId val="5074841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lang="es-AR"/>
                </a:pPr>
                <a:r>
                  <a:rPr lang="es-AR"/>
                  <a:t>Día de observación</a:t>
                </a:r>
              </a:p>
            </c:rich>
          </c:tx>
        </c:title>
        <c:numFmt formatCode="#,##0;\-#,##0" sourceLinked="0"/>
        <c:majorTickMark val="none"/>
        <c:tickLblPos val="nextTo"/>
        <c:txPr>
          <a:bodyPr/>
          <a:lstStyle/>
          <a:p>
            <a:pPr>
              <a:defRPr lang="es-AR" baseline="0"/>
            </a:pPr>
            <a:endParaRPr lang="es-ES"/>
          </a:p>
        </c:txPr>
        <c:crossAx val="50759936"/>
        <c:crosses val="autoZero"/>
        <c:crossBetween val="midCat"/>
        <c:majorUnit val="5"/>
      </c:valAx>
      <c:valAx>
        <c:axId val="5075993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 lang="es-AR"/>
                </a:pPr>
                <a:r>
                  <a:rPr lang="es-AR"/>
                  <a:t>Altura de ola (mts.)</a:t>
                </a:r>
              </a:p>
            </c:rich>
          </c:tx>
          <c:layout>
            <c:manualLayout>
              <c:xMode val="edge"/>
              <c:yMode val="edge"/>
              <c:x val="3.0155252103157048E-3"/>
              <c:y val="0.29042414159710983"/>
            </c:manualLayout>
          </c:layout>
        </c:title>
        <c:numFmt formatCode="General" sourceLinked="1"/>
        <c:majorTickMark val="none"/>
        <c:tickLblPos val="nextTo"/>
        <c:txPr>
          <a:bodyPr/>
          <a:lstStyle/>
          <a:p>
            <a:pPr>
              <a:defRPr lang="es-AR"/>
            </a:pPr>
            <a:endParaRPr lang="es-ES"/>
          </a:p>
        </c:txPr>
        <c:crossAx val="50748416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4133589770230268"/>
          <c:y val="0.71233526043915962"/>
          <c:w val="0.24201434347572337"/>
          <c:h val="0.16317756172635517"/>
        </c:manualLayout>
      </c:layout>
      <c:txPr>
        <a:bodyPr/>
        <a:lstStyle/>
        <a:p>
          <a:pPr>
            <a:defRPr lang="es-AR"/>
          </a:pPr>
          <a:endParaRPr lang="es-ES"/>
        </a:p>
      </c:txPr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chart>
    <c:title>
      <c:tx>
        <c:rich>
          <a:bodyPr/>
          <a:lstStyle/>
          <a:p>
            <a:pPr>
              <a:defRPr lang="es-AR"/>
            </a:pPr>
            <a:r>
              <a:rPr lang="es-AR" sz="1200" b="0" i="0" baseline="0"/>
              <a:t>Diamond Head Observación Visual/ Máquina de Soporte Vectorial</a:t>
            </a:r>
          </a:p>
        </c:rich>
      </c:tx>
    </c:title>
    <c:plotArea>
      <c:layout>
        <c:manualLayout>
          <c:layoutTarget val="inner"/>
          <c:xMode val="edge"/>
          <c:yMode val="edge"/>
          <c:x val="5.0128971669717602E-2"/>
          <c:y val="0.16285573489051136"/>
          <c:w val="0.91229087688864363"/>
          <c:h val="0.42844667523761909"/>
        </c:manualLayout>
      </c:layout>
      <c:scatterChart>
        <c:scatterStyle val="lineMarker"/>
        <c:ser>
          <c:idx val="0"/>
          <c:order val="0"/>
          <c:tx>
            <c:v>Observacion Visual</c:v>
          </c:tx>
          <c:xVal>
            <c:strRef>
              <c:f>[dh.xlsx]Sheet1!$A$1:$A$64</c:f>
              <c:strCache>
                <c:ptCount val="64"/>
                <c:pt idx="0">
                  <c:v>inst#,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</c:strCache>
            </c:strRef>
          </c:xVal>
          <c:yVal>
            <c:numRef>
              <c:f>[dh.xlsx]Sheet1!$B$1:$B$64</c:f>
              <c:numCache>
                <c:formatCode>General</c:formatCode>
                <c:ptCount val="64"/>
                <c:pt idx="0">
                  <c:v>0</c:v>
                </c:pt>
                <c:pt idx="1">
                  <c:v>1.829</c:v>
                </c:pt>
                <c:pt idx="2">
                  <c:v>0.61000000000000021</c:v>
                </c:pt>
                <c:pt idx="3">
                  <c:v>1.829</c:v>
                </c:pt>
                <c:pt idx="4">
                  <c:v>1.829</c:v>
                </c:pt>
                <c:pt idx="5">
                  <c:v>1.2189999999999996</c:v>
                </c:pt>
                <c:pt idx="6">
                  <c:v>2.4379999999999997</c:v>
                </c:pt>
                <c:pt idx="7">
                  <c:v>1.829</c:v>
                </c:pt>
                <c:pt idx="8">
                  <c:v>3.6579999999999999</c:v>
                </c:pt>
                <c:pt idx="9">
                  <c:v>1.2189999999999996</c:v>
                </c:pt>
                <c:pt idx="10">
                  <c:v>1.2189999999999996</c:v>
                </c:pt>
                <c:pt idx="11">
                  <c:v>1.829</c:v>
                </c:pt>
                <c:pt idx="12">
                  <c:v>1.829</c:v>
                </c:pt>
                <c:pt idx="13">
                  <c:v>1.829</c:v>
                </c:pt>
                <c:pt idx="14">
                  <c:v>2.4379999999999997</c:v>
                </c:pt>
                <c:pt idx="15">
                  <c:v>1.2189999999999996</c:v>
                </c:pt>
                <c:pt idx="16">
                  <c:v>1.829</c:v>
                </c:pt>
                <c:pt idx="17">
                  <c:v>1.829</c:v>
                </c:pt>
                <c:pt idx="18">
                  <c:v>1.2189999999999996</c:v>
                </c:pt>
                <c:pt idx="19">
                  <c:v>1.2189999999999996</c:v>
                </c:pt>
                <c:pt idx="20">
                  <c:v>1.2189999999999996</c:v>
                </c:pt>
                <c:pt idx="21">
                  <c:v>1.2189999999999996</c:v>
                </c:pt>
                <c:pt idx="22">
                  <c:v>3.6579999999999999</c:v>
                </c:pt>
                <c:pt idx="23">
                  <c:v>2.4379999999999997</c:v>
                </c:pt>
                <c:pt idx="24">
                  <c:v>1.2189999999999996</c:v>
                </c:pt>
                <c:pt idx="25">
                  <c:v>1.2189999999999996</c:v>
                </c:pt>
                <c:pt idx="26">
                  <c:v>2.4379999999999997</c:v>
                </c:pt>
                <c:pt idx="27">
                  <c:v>1.2189999999999996</c:v>
                </c:pt>
                <c:pt idx="28">
                  <c:v>1.2189999999999996</c:v>
                </c:pt>
                <c:pt idx="29">
                  <c:v>1.2189999999999996</c:v>
                </c:pt>
                <c:pt idx="30">
                  <c:v>1.829</c:v>
                </c:pt>
                <c:pt idx="31">
                  <c:v>1.829</c:v>
                </c:pt>
                <c:pt idx="32">
                  <c:v>2.4379999999999997</c:v>
                </c:pt>
                <c:pt idx="33">
                  <c:v>1.829</c:v>
                </c:pt>
                <c:pt idx="34">
                  <c:v>1.2189999999999996</c:v>
                </c:pt>
                <c:pt idx="35">
                  <c:v>1.2189999999999996</c:v>
                </c:pt>
                <c:pt idx="36">
                  <c:v>3.048</c:v>
                </c:pt>
                <c:pt idx="37">
                  <c:v>1.2189999999999996</c:v>
                </c:pt>
                <c:pt idx="38">
                  <c:v>2.4379999999999997</c:v>
                </c:pt>
                <c:pt idx="39">
                  <c:v>1.829</c:v>
                </c:pt>
                <c:pt idx="40">
                  <c:v>2.4379999999999997</c:v>
                </c:pt>
                <c:pt idx="41">
                  <c:v>1.2189999999999996</c:v>
                </c:pt>
                <c:pt idx="42">
                  <c:v>1.829</c:v>
                </c:pt>
                <c:pt idx="43">
                  <c:v>2.4379999999999997</c:v>
                </c:pt>
                <c:pt idx="44">
                  <c:v>1.829</c:v>
                </c:pt>
                <c:pt idx="45">
                  <c:v>1.829</c:v>
                </c:pt>
                <c:pt idx="46">
                  <c:v>1.829</c:v>
                </c:pt>
                <c:pt idx="47">
                  <c:v>1.829</c:v>
                </c:pt>
                <c:pt idx="48">
                  <c:v>1.829</c:v>
                </c:pt>
                <c:pt idx="49">
                  <c:v>2.4379999999999997</c:v>
                </c:pt>
                <c:pt idx="50">
                  <c:v>1.2189999999999996</c:v>
                </c:pt>
                <c:pt idx="51">
                  <c:v>0.61000000000000021</c:v>
                </c:pt>
                <c:pt idx="52">
                  <c:v>1.829</c:v>
                </c:pt>
                <c:pt idx="53">
                  <c:v>1.2189999999999996</c:v>
                </c:pt>
                <c:pt idx="54">
                  <c:v>0.61000000000000021</c:v>
                </c:pt>
                <c:pt idx="55">
                  <c:v>1.829</c:v>
                </c:pt>
                <c:pt idx="56">
                  <c:v>1.2189999999999996</c:v>
                </c:pt>
                <c:pt idx="57">
                  <c:v>2.4379999999999997</c:v>
                </c:pt>
                <c:pt idx="58">
                  <c:v>1.829</c:v>
                </c:pt>
                <c:pt idx="59">
                  <c:v>2.4379999999999997</c:v>
                </c:pt>
                <c:pt idx="60">
                  <c:v>1.829</c:v>
                </c:pt>
                <c:pt idx="61">
                  <c:v>1.829</c:v>
                </c:pt>
                <c:pt idx="62">
                  <c:v>1.2189999999999996</c:v>
                </c:pt>
                <c:pt idx="63">
                  <c:v>1.2189999999999996</c:v>
                </c:pt>
              </c:numCache>
            </c:numRef>
          </c:yVal>
        </c:ser>
        <c:ser>
          <c:idx val="1"/>
          <c:order val="1"/>
          <c:tx>
            <c:v>Prediccion Clasificador</c:v>
          </c:tx>
          <c:spPr>
            <a:ln w="22225"/>
          </c:spPr>
          <c:marker>
            <c:symbol val="diamond"/>
            <c:size val="4"/>
          </c:marker>
          <c:xVal>
            <c:strRef>
              <c:f>[dh.xlsx]Sheet1!$A$1:$A$64</c:f>
              <c:strCache>
                <c:ptCount val="64"/>
                <c:pt idx="0">
                  <c:v>inst#,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</c:strCache>
            </c:strRef>
          </c:xVal>
          <c:yVal>
            <c:numRef>
              <c:f>[dh.xlsx]Sheet1!$C$1:$C$64</c:f>
              <c:numCache>
                <c:formatCode>General</c:formatCode>
                <c:ptCount val="64"/>
                <c:pt idx="0">
                  <c:v>0</c:v>
                </c:pt>
                <c:pt idx="1">
                  <c:v>1.8149999999999995</c:v>
                </c:pt>
                <c:pt idx="2">
                  <c:v>1.7709999999999995</c:v>
                </c:pt>
                <c:pt idx="3">
                  <c:v>2.137</c:v>
                </c:pt>
                <c:pt idx="4">
                  <c:v>1.3069999999999995</c:v>
                </c:pt>
                <c:pt idx="5">
                  <c:v>1.353</c:v>
                </c:pt>
                <c:pt idx="6">
                  <c:v>1.724</c:v>
                </c:pt>
                <c:pt idx="7">
                  <c:v>1.7869999999999995</c:v>
                </c:pt>
                <c:pt idx="8">
                  <c:v>1.8089999999999995</c:v>
                </c:pt>
                <c:pt idx="9">
                  <c:v>1.897</c:v>
                </c:pt>
                <c:pt idx="10">
                  <c:v>1.798</c:v>
                </c:pt>
                <c:pt idx="11">
                  <c:v>1.5529999999999995</c:v>
                </c:pt>
                <c:pt idx="12">
                  <c:v>2.6589999999999998</c:v>
                </c:pt>
                <c:pt idx="13">
                  <c:v>1.7749999999999995</c:v>
                </c:pt>
                <c:pt idx="14">
                  <c:v>1.1850000000000001</c:v>
                </c:pt>
                <c:pt idx="15">
                  <c:v>1.4269999999999996</c:v>
                </c:pt>
                <c:pt idx="16">
                  <c:v>1.819</c:v>
                </c:pt>
                <c:pt idx="17">
                  <c:v>2.2159999999999997</c:v>
                </c:pt>
                <c:pt idx="18">
                  <c:v>1.77</c:v>
                </c:pt>
                <c:pt idx="19">
                  <c:v>1.74</c:v>
                </c:pt>
                <c:pt idx="20">
                  <c:v>1.2369999999999997</c:v>
                </c:pt>
                <c:pt idx="21">
                  <c:v>1.405999999999999</c:v>
                </c:pt>
                <c:pt idx="22">
                  <c:v>2.8699999999999997</c:v>
                </c:pt>
                <c:pt idx="23">
                  <c:v>1.736</c:v>
                </c:pt>
                <c:pt idx="24">
                  <c:v>1.9580000000000004</c:v>
                </c:pt>
                <c:pt idx="25">
                  <c:v>1.845</c:v>
                </c:pt>
                <c:pt idx="26">
                  <c:v>1.806</c:v>
                </c:pt>
                <c:pt idx="27">
                  <c:v>1.7329999999999997</c:v>
                </c:pt>
                <c:pt idx="28">
                  <c:v>1.625</c:v>
                </c:pt>
                <c:pt idx="29">
                  <c:v>1.2309999999999997</c:v>
                </c:pt>
                <c:pt idx="30">
                  <c:v>1.827</c:v>
                </c:pt>
                <c:pt idx="31">
                  <c:v>2.1419999999999999</c:v>
                </c:pt>
                <c:pt idx="32">
                  <c:v>2.4179999999999997</c:v>
                </c:pt>
                <c:pt idx="33">
                  <c:v>1.0880000000000001</c:v>
                </c:pt>
                <c:pt idx="34">
                  <c:v>1.4049999999999996</c:v>
                </c:pt>
                <c:pt idx="35">
                  <c:v>1.423999999999999</c:v>
                </c:pt>
                <c:pt idx="36">
                  <c:v>2.2490000000000001</c:v>
                </c:pt>
                <c:pt idx="37">
                  <c:v>1.222</c:v>
                </c:pt>
                <c:pt idx="38">
                  <c:v>1.804</c:v>
                </c:pt>
                <c:pt idx="39">
                  <c:v>1.403999999999999</c:v>
                </c:pt>
                <c:pt idx="40">
                  <c:v>1.8140000000000001</c:v>
                </c:pt>
                <c:pt idx="41">
                  <c:v>1.573</c:v>
                </c:pt>
                <c:pt idx="42">
                  <c:v>1.78</c:v>
                </c:pt>
                <c:pt idx="43">
                  <c:v>2.032999999999999</c:v>
                </c:pt>
                <c:pt idx="44">
                  <c:v>1.494</c:v>
                </c:pt>
                <c:pt idx="45">
                  <c:v>1.833</c:v>
                </c:pt>
                <c:pt idx="46">
                  <c:v>1.7789999999999995</c:v>
                </c:pt>
                <c:pt idx="47">
                  <c:v>1.7329999999999997</c:v>
                </c:pt>
                <c:pt idx="48">
                  <c:v>1.3280000000000001</c:v>
                </c:pt>
                <c:pt idx="49">
                  <c:v>2.4489999999999998</c:v>
                </c:pt>
                <c:pt idx="50">
                  <c:v>1.8959999999999995</c:v>
                </c:pt>
                <c:pt idx="51">
                  <c:v>1.1960000000000004</c:v>
                </c:pt>
                <c:pt idx="52">
                  <c:v>2.145</c:v>
                </c:pt>
                <c:pt idx="53">
                  <c:v>1.8009999999999995</c:v>
                </c:pt>
                <c:pt idx="54">
                  <c:v>1.9450000000000001</c:v>
                </c:pt>
                <c:pt idx="55">
                  <c:v>1.7989999999999995</c:v>
                </c:pt>
                <c:pt idx="56">
                  <c:v>1.5089999999999995</c:v>
                </c:pt>
                <c:pt idx="57">
                  <c:v>1.8580000000000001</c:v>
                </c:pt>
                <c:pt idx="58">
                  <c:v>1.8560000000000001</c:v>
                </c:pt>
                <c:pt idx="59">
                  <c:v>1.7409999999999997</c:v>
                </c:pt>
                <c:pt idx="60">
                  <c:v>1.3460000000000001</c:v>
                </c:pt>
                <c:pt idx="61">
                  <c:v>2.1019999999999999</c:v>
                </c:pt>
                <c:pt idx="62">
                  <c:v>1.8220000000000001</c:v>
                </c:pt>
                <c:pt idx="63">
                  <c:v>1.2069999999999996</c:v>
                </c:pt>
              </c:numCache>
            </c:numRef>
          </c:yVal>
        </c:ser>
        <c:axId val="62135680"/>
        <c:axId val="62171008"/>
      </c:scatterChart>
      <c:valAx>
        <c:axId val="6213568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lang="es-AR"/>
                </a:pPr>
                <a:r>
                  <a:rPr lang="es-AR"/>
                  <a:t>Día de observación</a:t>
                </a:r>
              </a:p>
            </c:rich>
          </c:tx>
        </c:title>
        <c:numFmt formatCode="#,##0;\-#,##0" sourceLinked="0"/>
        <c:majorTickMark val="none"/>
        <c:tickLblPos val="nextTo"/>
        <c:txPr>
          <a:bodyPr/>
          <a:lstStyle/>
          <a:p>
            <a:pPr>
              <a:defRPr lang="es-AR" baseline="0"/>
            </a:pPr>
            <a:endParaRPr lang="es-ES"/>
          </a:p>
        </c:txPr>
        <c:crossAx val="62171008"/>
        <c:crosses val="autoZero"/>
        <c:crossBetween val="midCat"/>
        <c:majorUnit val="5"/>
      </c:valAx>
      <c:valAx>
        <c:axId val="6217100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 lang="es-AR"/>
                </a:pPr>
                <a:r>
                  <a:rPr lang="es-AR"/>
                  <a:t>Altura de ola ()mts.</a:t>
                </a:r>
              </a:p>
            </c:rich>
          </c:tx>
          <c:layout>
            <c:manualLayout>
              <c:xMode val="edge"/>
              <c:yMode val="edge"/>
              <c:x val="3.0155252103157035E-3"/>
              <c:y val="0.29042414159710966"/>
            </c:manualLayout>
          </c:layout>
        </c:title>
        <c:numFmt formatCode="General" sourceLinked="1"/>
        <c:majorTickMark val="none"/>
        <c:tickLblPos val="nextTo"/>
        <c:txPr>
          <a:bodyPr/>
          <a:lstStyle/>
          <a:p>
            <a:pPr>
              <a:defRPr lang="es-AR"/>
            </a:pPr>
            <a:endParaRPr lang="es-ES"/>
          </a:p>
        </c:txPr>
        <c:crossAx val="62135680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4133589770230268"/>
          <c:y val="0.71233526043915962"/>
          <c:w val="0.2420143434757232"/>
          <c:h val="0.16317756172635517"/>
        </c:manualLayout>
      </c:layout>
      <c:txPr>
        <a:bodyPr/>
        <a:lstStyle/>
        <a:p>
          <a:pPr>
            <a:defRPr lang="es-AR"/>
          </a:pPr>
          <a:endParaRPr lang="es-ES"/>
        </a:p>
      </c:txPr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chart>
    <c:autoTitleDeleted val="1"/>
    <c:plotArea>
      <c:layout>
        <c:manualLayout>
          <c:layoutTarget val="inner"/>
          <c:xMode val="edge"/>
          <c:yMode val="edge"/>
          <c:x val="0.10048349150099888"/>
          <c:y val="4.1238940589567827E-2"/>
          <c:w val="0.87042860499284569"/>
          <c:h val="0.75935138208448205"/>
        </c:manualLayout>
      </c:layout>
      <c:scatterChart>
        <c:scatterStyle val="lineMarker"/>
        <c:ser>
          <c:idx val="0"/>
          <c:order val="0"/>
          <c:tx>
            <c:v>Observacion Visual</c:v>
          </c:tx>
          <c:spPr>
            <a:ln w="28575">
              <a:noFill/>
            </a:ln>
          </c:spPr>
          <c:xVal>
            <c:numRef>
              <c:f>Sheet1!$E$2:$E$65</c:f>
              <c:numCache>
                <c:formatCode>General</c:formatCode>
                <c:ptCount val="64"/>
                <c:pt idx="0">
                  <c:v>1.83</c:v>
                </c:pt>
                <c:pt idx="1">
                  <c:v>3.16</c:v>
                </c:pt>
                <c:pt idx="2">
                  <c:v>4.2699999999999996</c:v>
                </c:pt>
                <c:pt idx="3">
                  <c:v>2.12</c:v>
                </c:pt>
                <c:pt idx="4">
                  <c:v>2.27</c:v>
                </c:pt>
                <c:pt idx="5">
                  <c:v>1.62</c:v>
                </c:pt>
                <c:pt idx="6">
                  <c:v>1.86</c:v>
                </c:pt>
                <c:pt idx="7">
                  <c:v>2</c:v>
                </c:pt>
                <c:pt idx="8">
                  <c:v>2.3699999999999997</c:v>
                </c:pt>
                <c:pt idx="9">
                  <c:v>1.72</c:v>
                </c:pt>
                <c:pt idx="10">
                  <c:v>2.8499999999999996</c:v>
                </c:pt>
                <c:pt idx="11">
                  <c:v>1.35</c:v>
                </c:pt>
                <c:pt idx="12">
                  <c:v>1.8</c:v>
                </c:pt>
                <c:pt idx="13">
                  <c:v>2.38</c:v>
                </c:pt>
                <c:pt idx="14">
                  <c:v>3.2</c:v>
                </c:pt>
                <c:pt idx="15">
                  <c:v>1.9200000000000002</c:v>
                </c:pt>
                <c:pt idx="16">
                  <c:v>1.43</c:v>
                </c:pt>
                <c:pt idx="17">
                  <c:v>1.76</c:v>
                </c:pt>
                <c:pt idx="18">
                  <c:v>1.32</c:v>
                </c:pt>
                <c:pt idx="19">
                  <c:v>2.9899999999999998</c:v>
                </c:pt>
                <c:pt idx="20">
                  <c:v>2.9099999999999997</c:v>
                </c:pt>
                <c:pt idx="21">
                  <c:v>1.85</c:v>
                </c:pt>
                <c:pt idx="22">
                  <c:v>1.3800000000000001</c:v>
                </c:pt>
                <c:pt idx="23">
                  <c:v>2.8899999999999997</c:v>
                </c:pt>
                <c:pt idx="24">
                  <c:v>1.52</c:v>
                </c:pt>
                <c:pt idx="25">
                  <c:v>1.9900000000000002</c:v>
                </c:pt>
                <c:pt idx="26">
                  <c:v>2.9499999999999997</c:v>
                </c:pt>
                <c:pt idx="27">
                  <c:v>2.08</c:v>
                </c:pt>
                <c:pt idx="28">
                  <c:v>2.5299999999999998</c:v>
                </c:pt>
                <c:pt idx="29">
                  <c:v>2.2000000000000002</c:v>
                </c:pt>
                <c:pt idx="30">
                  <c:v>1.46</c:v>
                </c:pt>
                <c:pt idx="31">
                  <c:v>5.9</c:v>
                </c:pt>
                <c:pt idx="32">
                  <c:v>2.8899999999999997</c:v>
                </c:pt>
                <c:pt idx="33">
                  <c:v>3.09</c:v>
                </c:pt>
                <c:pt idx="34">
                  <c:v>2.5099999999999998</c:v>
                </c:pt>
                <c:pt idx="35">
                  <c:v>1.9800000000000002</c:v>
                </c:pt>
                <c:pt idx="36">
                  <c:v>2.27</c:v>
                </c:pt>
                <c:pt idx="37">
                  <c:v>1.8</c:v>
                </c:pt>
                <c:pt idx="38">
                  <c:v>2.0699999999999998</c:v>
                </c:pt>
                <c:pt idx="39">
                  <c:v>2.0099999999999998</c:v>
                </c:pt>
                <c:pt idx="40">
                  <c:v>2.92</c:v>
                </c:pt>
                <c:pt idx="41">
                  <c:v>1.74</c:v>
                </c:pt>
                <c:pt idx="42">
                  <c:v>2.5299999999999998</c:v>
                </c:pt>
                <c:pt idx="43">
                  <c:v>1.57</c:v>
                </c:pt>
                <c:pt idx="44">
                  <c:v>1.9200000000000002</c:v>
                </c:pt>
                <c:pt idx="45">
                  <c:v>4.22</c:v>
                </c:pt>
                <c:pt idx="46">
                  <c:v>1.47</c:v>
                </c:pt>
                <c:pt idx="47">
                  <c:v>1.9000000000000001</c:v>
                </c:pt>
                <c:pt idx="48">
                  <c:v>5.2700000000000005</c:v>
                </c:pt>
                <c:pt idx="49">
                  <c:v>2.36</c:v>
                </c:pt>
                <c:pt idx="50">
                  <c:v>3.1</c:v>
                </c:pt>
                <c:pt idx="51">
                  <c:v>4.8499999999999996</c:v>
                </c:pt>
                <c:pt idx="52">
                  <c:v>1.6700000000000002</c:v>
                </c:pt>
                <c:pt idx="53">
                  <c:v>2.4499999999999997</c:v>
                </c:pt>
                <c:pt idx="54">
                  <c:v>1.9000000000000001</c:v>
                </c:pt>
                <c:pt idx="55">
                  <c:v>2.74</c:v>
                </c:pt>
                <c:pt idx="56">
                  <c:v>2.0299999999999998</c:v>
                </c:pt>
                <c:pt idx="57">
                  <c:v>5.33</c:v>
                </c:pt>
                <c:pt idx="58">
                  <c:v>3.68</c:v>
                </c:pt>
                <c:pt idx="59">
                  <c:v>2.52</c:v>
                </c:pt>
                <c:pt idx="60">
                  <c:v>2.69</c:v>
                </c:pt>
                <c:pt idx="61">
                  <c:v>1.8800000000000001</c:v>
                </c:pt>
                <c:pt idx="62">
                  <c:v>3.13</c:v>
                </c:pt>
                <c:pt idx="63">
                  <c:v>2</c:v>
                </c:pt>
              </c:numCache>
            </c:numRef>
          </c:xVal>
          <c:yVal>
            <c:numRef>
              <c:f>Sheet1!$B$2:$B$65</c:f>
              <c:numCache>
                <c:formatCode>General</c:formatCode>
                <c:ptCount val="64"/>
                <c:pt idx="0">
                  <c:v>1.829</c:v>
                </c:pt>
                <c:pt idx="1">
                  <c:v>0.6100000000000001</c:v>
                </c:pt>
                <c:pt idx="2">
                  <c:v>1.829</c:v>
                </c:pt>
                <c:pt idx="3">
                  <c:v>1.829</c:v>
                </c:pt>
                <c:pt idx="4">
                  <c:v>1.2189999999999999</c:v>
                </c:pt>
                <c:pt idx="5">
                  <c:v>2.4379999999999997</c:v>
                </c:pt>
                <c:pt idx="6">
                  <c:v>1.829</c:v>
                </c:pt>
                <c:pt idx="7">
                  <c:v>3.6579999999999999</c:v>
                </c:pt>
                <c:pt idx="8">
                  <c:v>1.2189999999999999</c:v>
                </c:pt>
                <c:pt idx="9">
                  <c:v>1.2189999999999999</c:v>
                </c:pt>
                <c:pt idx="10">
                  <c:v>1.829</c:v>
                </c:pt>
                <c:pt idx="11">
                  <c:v>1.829</c:v>
                </c:pt>
                <c:pt idx="12">
                  <c:v>1.829</c:v>
                </c:pt>
                <c:pt idx="13">
                  <c:v>2.4379999999999997</c:v>
                </c:pt>
                <c:pt idx="14">
                  <c:v>1.2189999999999999</c:v>
                </c:pt>
                <c:pt idx="15">
                  <c:v>1.829</c:v>
                </c:pt>
                <c:pt idx="16">
                  <c:v>1.829</c:v>
                </c:pt>
                <c:pt idx="17">
                  <c:v>1.2189999999999999</c:v>
                </c:pt>
                <c:pt idx="18">
                  <c:v>1.2189999999999999</c:v>
                </c:pt>
                <c:pt idx="19">
                  <c:v>1.2189999999999999</c:v>
                </c:pt>
                <c:pt idx="20">
                  <c:v>1.2189999999999999</c:v>
                </c:pt>
                <c:pt idx="21">
                  <c:v>3.6579999999999999</c:v>
                </c:pt>
                <c:pt idx="22">
                  <c:v>2.4379999999999997</c:v>
                </c:pt>
                <c:pt idx="23">
                  <c:v>1.2189999999999999</c:v>
                </c:pt>
                <c:pt idx="24">
                  <c:v>1.2189999999999999</c:v>
                </c:pt>
                <c:pt idx="25">
                  <c:v>2.4379999999999997</c:v>
                </c:pt>
                <c:pt idx="26">
                  <c:v>1.2189999999999999</c:v>
                </c:pt>
                <c:pt idx="27">
                  <c:v>1.2189999999999999</c:v>
                </c:pt>
                <c:pt idx="28">
                  <c:v>1.2189999999999999</c:v>
                </c:pt>
                <c:pt idx="29">
                  <c:v>1.829</c:v>
                </c:pt>
                <c:pt idx="30">
                  <c:v>1.829</c:v>
                </c:pt>
                <c:pt idx="31">
                  <c:v>2.4379999999999997</c:v>
                </c:pt>
                <c:pt idx="32">
                  <c:v>1.829</c:v>
                </c:pt>
                <c:pt idx="33">
                  <c:v>1.2189999999999999</c:v>
                </c:pt>
                <c:pt idx="34">
                  <c:v>1.2189999999999999</c:v>
                </c:pt>
                <c:pt idx="35">
                  <c:v>3.048</c:v>
                </c:pt>
                <c:pt idx="36">
                  <c:v>1.2189999999999999</c:v>
                </c:pt>
                <c:pt idx="37">
                  <c:v>2.4379999999999997</c:v>
                </c:pt>
                <c:pt idx="38">
                  <c:v>1.829</c:v>
                </c:pt>
                <c:pt idx="39">
                  <c:v>2.4379999999999997</c:v>
                </c:pt>
                <c:pt idx="40">
                  <c:v>1.2189999999999999</c:v>
                </c:pt>
                <c:pt idx="41">
                  <c:v>1.829</c:v>
                </c:pt>
                <c:pt idx="42">
                  <c:v>2.4379999999999997</c:v>
                </c:pt>
                <c:pt idx="43">
                  <c:v>1.829</c:v>
                </c:pt>
                <c:pt idx="44">
                  <c:v>1.829</c:v>
                </c:pt>
                <c:pt idx="45">
                  <c:v>1.829</c:v>
                </c:pt>
                <c:pt idx="46">
                  <c:v>1.829</c:v>
                </c:pt>
                <c:pt idx="47">
                  <c:v>1.829</c:v>
                </c:pt>
                <c:pt idx="48">
                  <c:v>2.4379999999999997</c:v>
                </c:pt>
                <c:pt idx="49">
                  <c:v>1.2189999999999999</c:v>
                </c:pt>
                <c:pt idx="50">
                  <c:v>0.6100000000000001</c:v>
                </c:pt>
                <c:pt idx="51">
                  <c:v>1.829</c:v>
                </c:pt>
                <c:pt idx="52">
                  <c:v>1.2189999999999999</c:v>
                </c:pt>
                <c:pt idx="53">
                  <c:v>0.6100000000000001</c:v>
                </c:pt>
                <c:pt idx="54">
                  <c:v>1.829</c:v>
                </c:pt>
                <c:pt idx="55">
                  <c:v>1.2189999999999999</c:v>
                </c:pt>
                <c:pt idx="56">
                  <c:v>2.4379999999999997</c:v>
                </c:pt>
                <c:pt idx="57">
                  <c:v>1.829</c:v>
                </c:pt>
                <c:pt idx="58">
                  <c:v>2.4379999999999997</c:v>
                </c:pt>
                <c:pt idx="59">
                  <c:v>1.829</c:v>
                </c:pt>
                <c:pt idx="60">
                  <c:v>1.829</c:v>
                </c:pt>
                <c:pt idx="61">
                  <c:v>1.2189999999999999</c:v>
                </c:pt>
                <c:pt idx="62">
                  <c:v>1.2189999999999999</c:v>
                </c:pt>
                <c:pt idx="63">
                  <c:v>1.829</c:v>
                </c:pt>
              </c:numCache>
            </c:numRef>
          </c:yVal>
        </c:ser>
        <c:ser>
          <c:idx val="1"/>
          <c:order val="1"/>
          <c:spPr>
            <a:ln w="34925">
              <a:solidFill>
                <a:srgbClr val="9BBB59">
                  <a:lumMod val="60000"/>
                  <a:lumOff val="40000"/>
                </a:srgbClr>
              </a:solidFill>
            </a:ln>
          </c:spPr>
          <c:marker>
            <c:symbol val="none"/>
          </c:marker>
          <c:xVal>
            <c:numRef>
              <c:f>Sheet1!$S$28:$S$38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Sheet1!$S$28:$S$38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yVal>
        </c:ser>
        <c:axId val="62275584"/>
        <c:axId val="62292736"/>
      </c:scatterChart>
      <c:valAx>
        <c:axId val="62275584"/>
        <c:scaling>
          <c:orientation val="minMax"/>
          <c:max val="8"/>
        </c:scaling>
        <c:axPos val="b"/>
        <c:minorGridlines/>
        <c:title>
          <c:tx>
            <c:rich>
              <a:bodyPr/>
              <a:lstStyle/>
              <a:p>
                <a:pPr>
                  <a:defRPr lang="es-AR"/>
                </a:pPr>
                <a:r>
                  <a:rPr lang="es-AR"/>
                  <a:t>Wave</a:t>
                </a:r>
                <a:r>
                  <a:rPr lang="es-AR" baseline="0"/>
                  <a:t>Watch III (Altura en mts.)</a:t>
                </a:r>
                <a:endParaRPr lang="es-AR"/>
              </a:p>
            </c:rich>
          </c:tx>
        </c:title>
        <c:numFmt formatCode="#,##0;\-#,##0" sourceLinked="0"/>
        <c:tickLblPos val="nextTo"/>
        <c:txPr>
          <a:bodyPr/>
          <a:lstStyle/>
          <a:p>
            <a:pPr>
              <a:defRPr lang="es-AR" baseline="0"/>
            </a:pPr>
            <a:endParaRPr lang="es-ES"/>
          </a:p>
        </c:txPr>
        <c:crossAx val="62292736"/>
        <c:crosses val="autoZero"/>
        <c:crossBetween val="midCat"/>
        <c:majorUnit val="2"/>
      </c:valAx>
      <c:valAx>
        <c:axId val="62292736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 lang="es-AR"/>
                </a:pPr>
                <a:r>
                  <a:rPr lang="es-AR"/>
                  <a:t>Observacion Visual (Altura en mts.)</a:t>
                </a:r>
              </a:p>
            </c:rich>
          </c:tx>
        </c:title>
        <c:numFmt formatCode="General" sourceLinked="1"/>
        <c:tickLblPos val="nextTo"/>
        <c:txPr>
          <a:bodyPr/>
          <a:lstStyle/>
          <a:p>
            <a:pPr>
              <a:defRPr lang="es-AR"/>
            </a:pPr>
            <a:endParaRPr lang="es-ES"/>
          </a:p>
        </c:txPr>
        <c:crossAx val="62275584"/>
        <c:crosses val="autoZero"/>
        <c:crossBetween val="midCat"/>
      </c:valAx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chart>
    <c:autoTitleDeleted val="1"/>
    <c:plotArea>
      <c:layout>
        <c:manualLayout>
          <c:layoutTarget val="inner"/>
          <c:xMode val="edge"/>
          <c:yMode val="edge"/>
          <c:x val="0.10048349150099888"/>
          <c:y val="4.1238940589567848E-2"/>
          <c:w val="0.87042860499284569"/>
          <c:h val="0.75935138208448183"/>
        </c:manualLayout>
      </c:layout>
      <c:scatterChart>
        <c:scatterStyle val="lineMarker"/>
        <c:ser>
          <c:idx val="0"/>
          <c:order val="0"/>
          <c:tx>
            <c:v>Observacion Visual</c:v>
          </c:tx>
          <c:spPr>
            <a:ln w="28575">
              <a:noFill/>
            </a:ln>
          </c:spPr>
          <c:xVal>
            <c:numRef>
              <c:f>Sheet1!$C$2:$C$65</c:f>
              <c:numCache>
                <c:formatCode>General</c:formatCode>
                <c:ptCount val="64"/>
                <c:pt idx="0">
                  <c:v>1.8149999999999997</c:v>
                </c:pt>
                <c:pt idx="1">
                  <c:v>1.7709999999999997</c:v>
                </c:pt>
                <c:pt idx="2">
                  <c:v>2.137</c:v>
                </c:pt>
                <c:pt idx="3">
                  <c:v>1.3069999999999997</c:v>
                </c:pt>
                <c:pt idx="4">
                  <c:v>1.353</c:v>
                </c:pt>
                <c:pt idx="5">
                  <c:v>1.724</c:v>
                </c:pt>
                <c:pt idx="6">
                  <c:v>1.7869999999999997</c:v>
                </c:pt>
                <c:pt idx="7">
                  <c:v>1.8089999999999997</c:v>
                </c:pt>
                <c:pt idx="8">
                  <c:v>1.897</c:v>
                </c:pt>
                <c:pt idx="9">
                  <c:v>1.798</c:v>
                </c:pt>
                <c:pt idx="10">
                  <c:v>1.5529999999999997</c:v>
                </c:pt>
                <c:pt idx="11">
                  <c:v>2.6589999999999998</c:v>
                </c:pt>
                <c:pt idx="12">
                  <c:v>1.7749999999999997</c:v>
                </c:pt>
                <c:pt idx="13">
                  <c:v>1.1850000000000001</c:v>
                </c:pt>
                <c:pt idx="14">
                  <c:v>1.4269999999999998</c:v>
                </c:pt>
                <c:pt idx="15">
                  <c:v>1.819</c:v>
                </c:pt>
                <c:pt idx="16">
                  <c:v>2.2159999999999997</c:v>
                </c:pt>
                <c:pt idx="17">
                  <c:v>1.77</c:v>
                </c:pt>
                <c:pt idx="18">
                  <c:v>1.74</c:v>
                </c:pt>
                <c:pt idx="19">
                  <c:v>1.2369999999999999</c:v>
                </c:pt>
                <c:pt idx="20">
                  <c:v>1.4059999999999995</c:v>
                </c:pt>
                <c:pt idx="21">
                  <c:v>2.8699999999999997</c:v>
                </c:pt>
                <c:pt idx="22">
                  <c:v>1.736</c:v>
                </c:pt>
                <c:pt idx="23">
                  <c:v>1.9580000000000002</c:v>
                </c:pt>
                <c:pt idx="24">
                  <c:v>1.845</c:v>
                </c:pt>
                <c:pt idx="25">
                  <c:v>1.806</c:v>
                </c:pt>
                <c:pt idx="26">
                  <c:v>1.7329999999999999</c:v>
                </c:pt>
                <c:pt idx="27">
                  <c:v>1.625</c:v>
                </c:pt>
                <c:pt idx="28">
                  <c:v>1.2309999999999999</c:v>
                </c:pt>
                <c:pt idx="29">
                  <c:v>1.827</c:v>
                </c:pt>
                <c:pt idx="30">
                  <c:v>2.1419999999999999</c:v>
                </c:pt>
                <c:pt idx="31">
                  <c:v>2.4179999999999997</c:v>
                </c:pt>
                <c:pt idx="32">
                  <c:v>1.0880000000000001</c:v>
                </c:pt>
                <c:pt idx="33">
                  <c:v>1.4049999999999998</c:v>
                </c:pt>
                <c:pt idx="34">
                  <c:v>1.4239999999999995</c:v>
                </c:pt>
                <c:pt idx="35">
                  <c:v>2.2490000000000001</c:v>
                </c:pt>
                <c:pt idx="36">
                  <c:v>1.222</c:v>
                </c:pt>
                <c:pt idx="37">
                  <c:v>1.804</c:v>
                </c:pt>
                <c:pt idx="38">
                  <c:v>1.4039999999999995</c:v>
                </c:pt>
                <c:pt idx="39">
                  <c:v>1.8140000000000001</c:v>
                </c:pt>
                <c:pt idx="40">
                  <c:v>1.573</c:v>
                </c:pt>
                <c:pt idx="41">
                  <c:v>1.78</c:v>
                </c:pt>
                <c:pt idx="42">
                  <c:v>2.0329999999999995</c:v>
                </c:pt>
                <c:pt idx="43">
                  <c:v>1.494</c:v>
                </c:pt>
                <c:pt idx="44">
                  <c:v>1.833</c:v>
                </c:pt>
                <c:pt idx="45">
                  <c:v>1.7789999999999997</c:v>
                </c:pt>
                <c:pt idx="46">
                  <c:v>1.7329999999999999</c:v>
                </c:pt>
                <c:pt idx="47">
                  <c:v>1.3280000000000001</c:v>
                </c:pt>
                <c:pt idx="48">
                  <c:v>2.4489999999999998</c:v>
                </c:pt>
                <c:pt idx="49">
                  <c:v>1.8959999999999997</c:v>
                </c:pt>
                <c:pt idx="50">
                  <c:v>1.1960000000000002</c:v>
                </c:pt>
                <c:pt idx="51">
                  <c:v>2.145</c:v>
                </c:pt>
                <c:pt idx="52">
                  <c:v>1.8009999999999997</c:v>
                </c:pt>
                <c:pt idx="53">
                  <c:v>1.9450000000000001</c:v>
                </c:pt>
                <c:pt idx="54">
                  <c:v>1.7989999999999997</c:v>
                </c:pt>
                <c:pt idx="55">
                  <c:v>1.5089999999999997</c:v>
                </c:pt>
                <c:pt idx="56">
                  <c:v>1.8580000000000001</c:v>
                </c:pt>
                <c:pt idx="57">
                  <c:v>1.8560000000000001</c:v>
                </c:pt>
                <c:pt idx="58">
                  <c:v>1.7409999999999999</c:v>
                </c:pt>
                <c:pt idx="59">
                  <c:v>1.3460000000000001</c:v>
                </c:pt>
                <c:pt idx="60">
                  <c:v>2.1019999999999999</c:v>
                </c:pt>
                <c:pt idx="61">
                  <c:v>1.8220000000000001</c:v>
                </c:pt>
                <c:pt idx="62">
                  <c:v>1.2069999999999999</c:v>
                </c:pt>
                <c:pt idx="63">
                  <c:v>1.8089999999999997</c:v>
                </c:pt>
              </c:numCache>
            </c:numRef>
          </c:xVal>
          <c:yVal>
            <c:numRef>
              <c:f>Sheet1!$B$2:$B$65</c:f>
              <c:numCache>
                <c:formatCode>General</c:formatCode>
                <c:ptCount val="64"/>
                <c:pt idx="0">
                  <c:v>1.829</c:v>
                </c:pt>
                <c:pt idx="1">
                  <c:v>0.6100000000000001</c:v>
                </c:pt>
                <c:pt idx="2">
                  <c:v>1.829</c:v>
                </c:pt>
                <c:pt idx="3">
                  <c:v>1.829</c:v>
                </c:pt>
                <c:pt idx="4">
                  <c:v>1.2189999999999999</c:v>
                </c:pt>
                <c:pt idx="5">
                  <c:v>2.4379999999999997</c:v>
                </c:pt>
                <c:pt idx="6">
                  <c:v>1.829</c:v>
                </c:pt>
                <c:pt idx="7">
                  <c:v>3.6579999999999999</c:v>
                </c:pt>
                <c:pt idx="8">
                  <c:v>1.2189999999999999</c:v>
                </c:pt>
                <c:pt idx="9">
                  <c:v>1.2189999999999999</c:v>
                </c:pt>
                <c:pt idx="10">
                  <c:v>1.829</c:v>
                </c:pt>
                <c:pt idx="11">
                  <c:v>1.829</c:v>
                </c:pt>
                <c:pt idx="12">
                  <c:v>1.829</c:v>
                </c:pt>
                <c:pt idx="13">
                  <c:v>2.4379999999999997</c:v>
                </c:pt>
                <c:pt idx="14">
                  <c:v>1.2189999999999999</c:v>
                </c:pt>
                <c:pt idx="15">
                  <c:v>1.829</c:v>
                </c:pt>
                <c:pt idx="16">
                  <c:v>1.829</c:v>
                </c:pt>
                <c:pt idx="17">
                  <c:v>1.2189999999999999</c:v>
                </c:pt>
                <c:pt idx="18">
                  <c:v>1.2189999999999999</c:v>
                </c:pt>
                <c:pt idx="19">
                  <c:v>1.2189999999999999</c:v>
                </c:pt>
                <c:pt idx="20">
                  <c:v>1.2189999999999999</c:v>
                </c:pt>
                <c:pt idx="21">
                  <c:v>3.6579999999999999</c:v>
                </c:pt>
                <c:pt idx="22">
                  <c:v>2.4379999999999997</c:v>
                </c:pt>
                <c:pt idx="23">
                  <c:v>1.2189999999999999</c:v>
                </c:pt>
                <c:pt idx="24">
                  <c:v>1.2189999999999999</c:v>
                </c:pt>
                <c:pt idx="25">
                  <c:v>2.4379999999999997</c:v>
                </c:pt>
                <c:pt idx="26">
                  <c:v>1.2189999999999999</c:v>
                </c:pt>
                <c:pt idx="27">
                  <c:v>1.2189999999999999</c:v>
                </c:pt>
                <c:pt idx="28">
                  <c:v>1.2189999999999999</c:v>
                </c:pt>
                <c:pt idx="29">
                  <c:v>1.829</c:v>
                </c:pt>
                <c:pt idx="30">
                  <c:v>1.829</c:v>
                </c:pt>
                <c:pt idx="31">
                  <c:v>2.4379999999999997</c:v>
                </c:pt>
                <c:pt idx="32">
                  <c:v>1.829</c:v>
                </c:pt>
                <c:pt idx="33">
                  <c:v>1.2189999999999999</c:v>
                </c:pt>
                <c:pt idx="34">
                  <c:v>1.2189999999999999</c:v>
                </c:pt>
                <c:pt idx="35">
                  <c:v>3.048</c:v>
                </c:pt>
                <c:pt idx="36">
                  <c:v>1.2189999999999999</c:v>
                </c:pt>
                <c:pt idx="37">
                  <c:v>2.4379999999999997</c:v>
                </c:pt>
                <c:pt idx="38">
                  <c:v>1.829</c:v>
                </c:pt>
                <c:pt idx="39">
                  <c:v>2.4379999999999997</c:v>
                </c:pt>
                <c:pt idx="40">
                  <c:v>1.2189999999999999</c:v>
                </c:pt>
                <c:pt idx="41">
                  <c:v>1.829</c:v>
                </c:pt>
                <c:pt idx="42">
                  <c:v>2.4379999999999997</c:v>
                </c:pt>
                <c:pt idx="43">
                  <c:v>1.829</c:v>
                </c:pt>
                <c:pt idx="44">
                  <c:v>1.829</c:v>
                </c:pt>
                <c:pt idx="45">
                  <c:v>1.829</c:v>
                </c:pt>
                <c:pt idx="46">
                  <c:v>1.829</c:v>
                </c:pt>
                <c:pt idx="47">
                  <c:v>1.829</c:v>
                </c:pt>
                <c:pt idx="48">
                  <c:v>2.4379999999999997</c:v>
                </c:pt>
                <c:pt idx="49">
                  <c:v>1.2189999999999999</c:v>
                </c:pt>
                <c:pt idx="50">
                  <c:v>0.6100000000000001</c:v>
                </c:pt>
                <c:pt idx="51">
                  <c:v>1.829</c:v>
                </c:pt>
                <c:pt idx="52">
                  <c:v>1.2189999999999999</c:v>
                </c:pt>
                <c:pt idx="53">
                  <c:v>0.6100000000000001</c:v>
                </c:pt>
                <c:pt idx="54">
                  <c:v>1.829</c:v>
                </c:pt>
                <c:pt idx="55">
                  <c:v>1.2189999999999999</c:v>
                </c:pt>
                <c:pt idx="56">
                  <c:v>2.4379999999999997</c:v>
                </c:pt>
                <c:pt idx="57">
                  <c:v>1.829</c:v>
                </c:pt>
                <c:pt idx="58">
                  <c:v>2.4379999999999997</c:v>
                </c:pt>
                <c:pt idx="59">
                  <c:v>1.829</c:v>
                </c:pt>
                <c:pt idx="60">
                  <c:v>1.829</c:v>
                </c:pt>
                <c:pt idx="61">
                  <c:v>1.2189999999999999</c:v>
                </c:pt>
                <c:pt idx="62">
                  <c:v>1.2189999999999999</c:v>
                </c:pt>
                <c:pt idx="63">
                  <c:v>1.829</c:v>
                </c:pt>
              </c:numCache>
            </c:numRef>
          </c:yVal>
        </c:ser>
        <c:ser>
          <c:idx val="1"/>
          <c:order val="1"/>
          <c:spPr>
            <a:ln w="34925">
              <a:solidFill>
                <a:srgbClr val="9BBB59">
                  <a:lumMod val="60000"/>
                  <a:lumOff val="40000"/>
                </a:srgbClr>
              </a:solidFill>
            </a:ln>
          </c:spPr>
          <c:marker>
            <c:symbol val="none"/>
          </c:marker>
          <c:xVal>
            <c:numRef>
              <c:f>Sheet1!$S$28:$S$38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Sheet1!$S$28:$S$38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yVal>
        </c:ser>
        <c:axId val="62489344"/>
        <c:axId val="80662528"/>
      </c:scatterChart>
      <c:valAx>
        <c:axId val="62489344"/>
        <c:scaling>
          <c:orientation val="minMax"/>
          <c:max val="8"/>
        </c:scaling>
        <c:axPos val="b"/>
        <c:minorGridlines/>
        <c:title>
          <c:tx>
            <c:rich>
              <a:bodyPr/>
              <a:lstStyle/>
              <a:p>
                <a:pPr>
                  <a:defRPr lang="es-AR"/>
                </a:pPr>
                <a:r>
                  <a:rPr lang="es-AR"/>
                  <a:t>Predicción</a:t>
                </a:r>
                <a:r>
                  <a:rPr lang="es-AR" baseline="0"/>
                  <a:t> SVM (Altura en mts.)</a:t>
                </a:r>
              </a:p>
            </c:rich>
          </c:tx>
        </c:title>
        <c:numFmt formatCode="#,##0;\-#,##0" sourceLinked="0"/>
        <c:tickLblPos val="nextTo"/>
        <c:txPr>
          <a:bodyPr/>
          <a:lstStyle/>
          <a:p>
            <a:pPr>
              <a:defRPr lang="es-AR" baseline="0"/>
            </a:pPr>
            <a:endParaRPr lang="es-ES"/>
          </a:p>
        </c:txPr>
        <c:crossAx val="80662528"/>
        <c:crosses val="autoZero"/>
        <c:crossBetween val="midCat"/>
        <c:majorUnit val="2"/>
      </c:valAx>
      <c:valAx>
        <c:axId val="80662528"/>
        <c:scaling>
          <c:orientation val="minMax"/>
        </c:scaling>
        <c:axPos val="l"/>
        <c:majorGridlines/>
        <c:minorGridlines/>
        <c:title>
          <c:tx>
            <c:rich>
              <a:bodyPr/>
              <a:lstStyle/>
              <a:p>
                <a:pPr>
                  <a:defRPr lang="es-AR"/>
                </a:pPr>
                <a:r>
                  <a:rPr lang="es-AR"/>
                  <a:t>Observacion Visual (Altura en mts.)</a:t>
                </a:r>
              </a:p>
            </c:rich>
          </c:tx>
        </c:title>
        <c:numFmt formatCode="General" sourceLinked="1"/>
        <c:tickLblPos val="nextTo"/>
        <c:txPr>
          <a:bodyPr/>
          <a:lstStyle/>
          <a:p>
            <a:pPr>
              <a:defRPr lang="es-AR"/>
            </a:pPr>
            <a:endParaRPr lang="es-ES"/>
          </a:p>
        </c:txPr>
        <c:crossAx val="62489344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346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8</cp:revision>
  <dcterms:created xsi:type="dcterms:W3CDTF">2010-05-21T22:03:00Z</dcterms:created>
  <dcterms:modified xsi:type="dcterms:W3CDTF">2010-05-21T23:07:00Z</dcterms:modified>
</cp:coreProperties>
</file>