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F1" w:rsidRPr="00A72453" w:rsidRDefault="00B50EB5" w:rsidP="00E15EF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4.5.1 Sunset</w:t>
      </w:r>
    </w:p>
    <w:p w:rsidR="00B50EB5" w:rsidRDefault="00205A2E" w:rsidP="00E15EFF">
      <w:pPr>
        <w:jc w:val="both"/>
      </w:pPr>
      <w:r>
        <w:tab/>
      </w:r>
      <w:r w:rsidR="00B50EB5">
        <w:t>Esta ola se localiza en la costa norte de Oahu, según se ve en la siguiente figura</w:t>
      </w:r>
      <w:r w:rsidR="003A667B">
        <w:t>. La estrella naranja simboliza la ubicación aproximada del GridPoint utilizado del modelo WAVEWATCH III como fuente de pronósticos mar adentro.</w:t>
      </w:r>
    </w:p>
    <w:p w:rsidR="00D717F3" w:rsidRDefault="003A667B" w:rsidP="00D717F3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951196" cy="3321170"/>
            <wp:effectExtent l="19050" t="0" r="1804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677" cy="332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F3" w:rsidRDefault="00D717F3" w:rsidP="00D717F3">
      <w:pPr>
        <w:jc w:val="center"/>
      </w:pPr>
      <w:r>
        <w:t xml:space="preserve">Fig. 4.1: </w:t>
      </w:r>
      <w:r w:rsidR="00BE2F39">
        <w:t>Localización</w:t>
      </w:r>
      <w:r>
        <w:t xml:space="preserve"> Sunset, Oahu, </w:t>
      </w:r>
      <w:r w:rsidR="00BE2F39">
        <w:t>Hawái</w:t>
      </w:r>
      <w:r w:rsidR="00CE406B">
        <w:t>.</w:t>
      </w:r>
    </w:p>
    <w:p w:rsidR="00DA5CB7" w:rsidRDefault="00053ED0" w:rsidP="00E15EFF">
      <w:pPr>
        <w:ind w:firstLine="708"/>
        <w:jc w:val="both"/>
      </w:pPr>
      <w:r>
        <w:t xml:space="preserve">En las </w:t>
      </w:r>
      <w:r w:rsidR="00A72453">
        <w:t>tablas</w:t>
      </w:r>
      <w:r w:rsidR="003A667B">
        <w:t xml:space="preserve"> siguientes dos tablas 4.7 y 4.8</w:t>
      </w:r>
      <w:r w:rsidR="008C505E">
        <w:t xml:space="preserve"> se muestra</w:t>
      </w:r>
      <w:r>
        <w:t xml:space="preserve"> la </w:t>
      </w:r>
      <w:r w:rsidR="008C505E">
        <w:t>correlación</w:t>
      </w:r>
      <w:r>
        <w:t xml:space="preserve"> y </w:t>
      </w:r>
      <w:r w:rsidR="0023181F">
        <w:t xml:space="preserve">MAE </w:t>
      </w:r>
      <w:r w:rsidR="008C505E">
        <w:t>de</w:t>
      </w:r>
      <w:r w:rsidR="0023181F">
        <w:t xml:space="preserve">l </w:t>
      </w:r>
      <w:r w:rsidR="003A667B">
        <w:t>modelo</w:t>
      </w:r>
      <w:r w:rsidR="008C505E">
        <w:t xml:space="preserve"> </w:t>
      </w:r>
      <w:r>
        <w:t>W</w:t>
      </w:r>
      <w:r w:rsidR="003A667B">
        <w:t xml:space="preserve">AVEWATCH III </w:t>
      </w:r>
      <w:r>
        <w:t xml:space="preserve">y </w:t>
      </w:r>
      <w:r w:rsidR="001D0843">
        <w:t>d</w:t>
      </w:r>
      <w:r>
        <w:t>el clasificador</w:t>
      </w:r>
      <w:r w:rsidR="001D0843">
        <w:t xml:space="preserve"> (SVM) en contraste con las observaciones</w:t>
      </w:r>
      <w:r w:rsidR="00E01302">
        <w:t xml:space="preserve"> para la </w:t>
      </w:r>
      <w:r w:rsidR="001D0843">
        <w:t>ola Sunset respectivamente</w:t>
      </w:r>
      <w:r>
        <w:t>.</w:t>
      </w:r>
    </w:p>
    <w:tbl>
      <w:tblPr>
        <w:tblStyle w:val="Tablaconcuadrcula"/>
        <w:tblW w:w="0" w:type="auto"/>
        <w:jc w:val="center"/>
        <w:tblLook w:val="04A0"/>
      </w:tblPr>
      <w:tblGrid>
        <w:gridCol w:w="3076"/>
        <w:gridCol w:w="2987"/>
      </w:tblGrid>
      <w:tr w:rsidR="00BD26CE" w:rsidTr="001D0843">
        <w:trPr>
          <w:jc w:val="center"/>
        </w:trPr>
        <w:tc>
          <w:tcPr>
            <w:tcW w:w="3076" w:type="dxa"/>
            <w:shd w:val="clear" w:color="auto" w:fill="D9D9D9" w:themeFill="background1" w:themeFillShade="D9"/>
          </w:tcPr>
          <w:p w:rsidR="00BD26CE" w:rsidRDefault="001D0843" w:rsidP="001D0843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Correlació</w:t>
            </w:r>
            <w:r w:rsidR="00BD26CE">
              <w:rPr>
                <w:noProof/>
                <w:lang w:val="es-ES_tradnl"/>
              </w:rPr>
              <w:t>n WW3</w:t>
            </w:r>
            <w:r>
              <w:rPr>
                <w:noProof/>
                <w:lang w:val="es-ES_tradnl"/>
              </w:rPr>
              <w:t xml:space="preserve"> </w:t>
            </w:r>
            <w:r w:rsidR="00BD26CE">
              <w:rPr>
                <w:noProof/>
                <w:lang w:val="es-ES_tradnl"/>
              </w:rPr>
              <w:t>/</w:t>
            </w:r>
            <w:r>
              <w:rPr>
                <w:noProof/>
                <w:lang w:val="es-ES_tradnl"/>
              </w:rPr>
              <w:t xml:space="preserve"> </w:t>
            </w:r>
            <w:r w:rsidR="00BD26CE">
              <w:rPr>
                <w:noProof/>
                <w:lang w:val="es-ES_tradnl"/>
              </w:rPr>
              <w:t>Obs</w:t>
            </w:r>
            <w:r>
              <w:rPr>
                <w:noProof/>
                <w:lang w:val="es-ES_tradnl"/>
              </w:rPr>
              <w:t xml:space="preserve">. </w:t>
            </w:r>
            <w:r w:rsidR="00BD26CE">
              <w:rPr>
                <w:noProof/>
                <w:lang w:val="es-ES_tradnl"/>
              </w:rPr>
              <w:t>Visual</w:t>
            </w:r>
          </w:p>
        </w:tc>
        <w:tc>
          <w:tcPr>
            <w:tcW w:w="2987" w:type="dxa"/>
            <w:shd w:val="clear" w:color="auto" w:fill="D9D9D9" w:themeFill="background1" w:themeFillShade="D9"/>
          </w:tcPr>
          <w:p w:rsidR="00BD26CE" w:rsidRDefault="001D0843" w:rsidP="001D0843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Correlació</w:t>
            </w:r>
            <w:r w:rsidR="00BD26CE">
              <w:rPr>
                <w:noProof/>
                <w:lang w:val="es-ES_tradnl"/>
              </w:rPr>
              <w:t xml:space="preserve">n </w:t>
            </w:r>
            <w:r>
              <w:rPr>
                <w:noProof/>
                <w:lang w:val="es-ES_tradnl"/>
              </w:rPr>
              <w:t xml:space="preserve">SVM </w:t>
            </w:r>
            <w:r w:rsidR="00BD26CE">
              <w:rPr>
                <w:noProof/>
                <w:lang w:val="es-ES_tradnl"/>
              </w:rPr>
              <w:t>/</w:t>
            </w:r>
            <w:r>
              <w:rPr>
                <w:noProof/>
                <w:lang w:val="es-ES_tradnl"/>
              </w:rPr>
              <w:t xml:space="preserve"> </w:t>
            </w:r>
            <w:r w:rsidR="00BD26CE">
              <w:rPr>
                <w:noProof/>
                <w:lang w:val="es-ES_tradnl"/>
              </w:rPr>
              <w:t>Obs</w:t>
            </w:r>
            <w:r>
              <w:rPr>
                <w:noProof/>
                <w:lang w:val="es-ES_tradnl"/>
              </w:rPr>
              <w:t xml:space="preserve">. </w:t>
            </w:r>
            <w:r w:rsidR="00BD26CE">
              <w:rPr>
                <w:noProof/>
                <w:lang w:val="es-ES_tradnl"/>
              </w:rPr>
              <w:t>Visual</w:t>
            </w:r>
          </w:p>
        </w:tc>
      </w:tr>
      <w:tr w:rsidR="00BD26CE" w:rsidTr="001D0843">
        <w:trPr>
          <w:jc w:val="center"/>
        </w:trPr>
        <w:tc>
          <w:tcPr>
            <w:tcW w:w="3076" w:type="dxa"/>
          </w:tcPr>
          <w:p w:rsidR="00BD26CE" w:rsidRPr="00BD26CE" w:rsidRDefault="001D0843" w:rsidP="001D08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  <w:tc>
          <w:tcPr>
            <w:tcW w:w="2987" w:type="dxa"/>
          </w:tcPr>
          <w:p w:rsidR="00BD26CE" w:rsidRPr="00BD26CE" w:rsidRDefault="001D0843" w:rsidP="001D08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89%</w:t>
            </w:r>
          </w:p>
        </w:tc>
      </w:tr>
    </w:tbl>
    <w:p w:rsidR="00B66906" w:rsidRDefault="00E01302" w:rsidP="001D0843">
      <w:pPr>
        <w:jc w:val="center"/>
        <w:rPr>
          <w:noProof/>
          <w:lang w:val="es-ES_tradnl"/>
        </w:rPr>
      </w:pPr>
      <w:r>
        <w:rPr>
          <w:noProof/>
          <w:lang w:val="es-ES_tradnl"/>
        </w:rPr>
        <w:t xml:space="preserve">Tabla </w:t>
      </w:r>
      <w:r w:rsidR="001D0843">
        <w:rPr>
          <w:noProof/>
          <w:lang w:val="es-ES_tradnl"/>
        </w:rPr>
        <w:t>4.7</w:t>
      </w:r>
    </w:p>
    <w:tbl>
      <w:tblPr>
        <w:tblStyle w:val="Tablaconcuadrcula"/>
        <w:tblW w:w="0" w:type="auto"/>
        <w:jc w:val="center"/>
        <w:tblLook w:val="04A0"/>
      </w:tblPr>
      <w:tblGrid>
        <w:gridCol w:w="3085"/>
        <w:gridCol w:w="2977"/>
      </w:tblGrid>
      <w:tr w:rsidR="00BD26CE" w:rsidTr="001D0843">
        <w:trPr>
          <w:trHeight w:val="378"/>
          <w:jc w:val="center"/>
        </w:trPr>
        <w:tc>
          <w:tcPr>
            <w:tcW w:w="3085" w:type="dxa"/>
            <w:shd w:val="clear" w:color="auto" w:fill="D9D9D9" w:themeFill="background1" w:themeFillShade="D9"/>
          </w:tcPr>
          <w:p w:rsidR="00BD26CE" w:rsidRDefault="00A72453" w:rsidP="001D0843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MAE </w:t>
            </w:r>
            <w:r w:rsidR="00BD26CE">
              <w:rPr>
                <w:noProof/>
                <w:lang w:val="es-ES_tradnl"/>
              </w:rPr>
              <w:t>WW3</w:t>
            </w:r>
            <w:r w:rsidR="001D0843">
              <w:rPr>
                <w:noProof/>
                <w:lang w:val="es-ES_tradnl"/>
              </w:rPr>
              <w:t xml:space="preserve"> </w:t>
            </w:r>
            <w:r w:rsidR="00BD26CE">
              <w:rPr>
                <w:noProof/>
                <w:lang w:val="es-ES_tradnl"/>
              </w:rPr>
              <w:t>/</w:t>
            </w:r>
            <w:r w:rsidR="001D0843">
              <w:rPr>
                <w:noProof/>
                <w:lang w:val="es-ES_tradnl"/>
              </w:rPr>
              <w:t xml:space="preserve"> </w:t>
            </w:r>
            <w:r w:rsidR="00BD26CE">
              <w:rPr>
                <w:noProof/>
                <w:lang w:val="es-ES_tradnl"/>
              </w:rPr>
              <w:t>Obs</w:t>
            </w:r>
            <w:r w:rsidR="001D0843">
              <w:rPr>
                <w:noProof/>
                <w:lang w:val="es-ES_tradnl"/>
              </w:rPr>
              <w:t xml:space="preserve">. </w:t>
            </w:r>
            <w:r w:rsidR="00BD26CE">
              <w:rPr>
                <w:noProof/>
                <w:lang w:val="es-ES_tradnl"/>
              </w:rPr>
              <w:t>Visual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D26CE" w:rsidRDefault="00A72453" w:rsidP="001D0843">
            <w:pPr>
              <w:jc w:val="center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MAE </w:t>
            </w:r>
            <w:r w:rsidR="00BD26CE">
              <w:rPr>
                <w:noProof/>
                <w:lang w:val="es-ES_tradnl"/>
              </w:rPr>
              <w:t>Clasificador/Obs</w:t>
            </w:r>
            <w:r w:rsidR="001D0843">
              <w:rPr>
                <w:noProof/>
                <w:lang w:val="es-ES_tradnl"/>
              </w:rPr>
              <w:t xml:space="preserve">. </w:t>
            </w:r>
            <w:r w:rsidR="00BD26CE">
              <w:rPr>
                <w:noProof/>
                <w:lang w:val="es-ES_tradnl"/>
              </w:rPr>
              <w:t>Visual</w:t>
            </w:r>
          </w:p>
        </w:tc>
      </w:tr>
      <w:tr w:rsidR="00BD26CE" w:rsidTr="001D0843">
        <w:trPr>
          <w:jc w:val="center"/>
        </w:trPr>
        <w:tc>
          <w:tcPr>
            <w:tcW w:w="3085" w:type="dxa"/>
          </w:tcPr>
          <w:p w:rsidR="00BD26CE" w:rsidRPr="00BD26CE" w:rsidRDefault="00BD26CE" w:rsidP="001D08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</w:t>
            </w:r>
            <w:r w:rsidR="001D0843">
              <w:rPr>
                <w:rFonts w:ascii="Calibri" w:hAnsi="Calibri" w:cs="Calibri"/>
                <w:color w:val="000000"/>
              </w:rPr>
              <w:t xml:space="preserve"> mts</w:t>
            </w:r>
          </w:p>
        </w:tc>
        <w:tc>
          <w:tcPr>
            <w:tcW w:w="2977" w:type="dxa"/>
          </w:tcPr>
          <w:p w:rsidR="00BD26CE" w:rsidRPr="00BD26CE" w:rsidRDefault="00BD26CE" w:rsidP="001D08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  <w:r w:rsidR="001D0843">
              <w:rPr>
                <w:rFonts w:ascii="Calibri" w:hAnsi="Calibri" w:cs="Calibri"/>
                <w:color w:val="000000"/>
              </w:rPr>
              <w:t>2 mts</w:t>
            </w:r>
          </w:p>
        </w:tc>
      </w:tr>
    </w:tbl>
    <w:p w:rsidR="00E01302" w:rsidRDefault="00E01302" w:rsidP="001D0843">
      <w:pPr>
        <w:jc w:val="center"/>
        <w:rPr>
          <w:noProof/>
          <w:lang w:val="es-ES_tradnl"/>
        </w:rPr>
      </w:pPr>
      <w:r>
        <w:rPr>
          <w:noProof/>
          <w:lang w:val="es-ES_tradnl"/>
        </w:rPr>
        <w:t xml:space="preserve">Tabla </w:t>
      </w:r>
      <w:r w:rsidR="001D0843">
        <w:rPr>
          <w:noProof/>
          <w:lang w:val="es-ES_tradnl"/>
        </w:rPr>
        <w:t>4.8</w:t>
      </w:r>
    </w:p>
    <w:p w:rsidR="007E0A7C" w:rsidRDefault="00DA5CB7" w:rsidP="00E15EFF">
      <w:pPr>
        <w:jc w:val="both"/>
        <w:rPr>
          <w:noProof/>
          <w:lang w:val="es-ES_tradnl"/>
        </w:rPr>
      </w:pPr>
      <w:r>
        <w:rPr>
          <w:noProof/>
          <w:lang w:val="es-ES_tradnl"/>
        </w:rPr>
        <w:tab/>
      </w:r>
      <w:r w:rsidR="00BE2F39">
        <w:rPr>
          <w:noProof/>
          <w:lang w:val="es-ES_tradnl"/>
        </w:rPr>
        <w:t>A continuación, e</w:t>
      </w:r>
      <w:r w:rsidR="00205A2E">
        <w:rPr>
          <w:noProof/>
          <w:lang w:val="es-ES_tradnl"/>
        </w:rPr>
        <w:t>n l</w:t>
      </w:r>
      <w:r w:rsidR="005A3612">
        <w:rPr>
          <w:noProof/>
          <w:lang w:val="es-ES_tradnl"/>
        </w:rPr>
        <w:t>as figuras</w:t>
      </w:r>
      <w:r w:rsidR="0023181F">
        <w:rPr>
          <w:noProof/>
          <w:lang w:val="es-ES_tradnl"/>
        </w:rPr>
        <w:t xml:space="preserve"> </w:t>
      </w:r>
      <w:r w:rsidR="009A7451">
        <w:rPr>
          <w:noProof/>
          <w:lang w:val="es-ES_tradnl"/>
        </w:rPr>
        <w:t>4.2</w:t>
      </w:r>
      <w:r w:rsidR="0023181F">
        <w:rPr>
          <w:noProof/>
          <w:lang w:val="es-ES_tradnl"/>
        </w:rPr>
        <w:t xml:space="preserve"> y </w:t>
      </w:r>
      <w:r w:rsidR="009A7451">
        <w:rPr>
          <w:noProof/>
          <w:lang w:val="es-ES_tradnl"/>
        </w:rPr>
        <w:t>4.3</w:t>
      </w:r>
      <w:r w:rsidR="00205A2E">
        <w:rPr>
          <w:noProof/>
          <w:lang w:val="es-ES_tradnl"/>
        </w:rPr>
        <w:t xml:space="preserve">, </w:t>
      </w:r>
      <w:r w:rsidR="005A3612">
        <w:rPr>
          <w:noProof/>
          <w:lang w:val="es-ES_tradnl"/>
        </w:rPr>
        <w:t xml:space="preserve">se grafican </w:t>
      </w:r>
      <w:r w:rsidR="00205A2E">
        <w:rPr>
          <w:noProof/>
          <w:lang w:val="es-ES_tradnl"/>
        </w:rPr>
        <w:t>el valor de altura</w:t>
      </w:r>
      <w:r w:rsidR="002E0E22">
        <w:rPr>
          <w:noProof/>
          <w:lang w:val="es-ES_tradnl"/>
        </w:rPr>
        <w:t xml:space="preserve"> de ola</w:t>
      </w:r>
      <w:r w:rsidR="00205A2E">
        <w:rPr>
          <w:noProof/>
          <w:lang w:val="es-ES_tradnl"/>
        </w:rPr>
        <w:t xml:space="preserve"> predich</w:t>
      </w:r>
      <w:r w:rsidR="005A3612">
        <w:rPr>
          <w:noProof/>
          <w:lang w:val="es-ES_tradnl"/>
        </w:rPr>
        <w:t xml:space="preserve">o por cada uno de los sistemas </w:t>
      </w:r>
      <w:r w:rsidR="002E0E22">
        <w:rPr>
          <w:noProof/>
          <w:lang w:val="es-ES_tradnl"/>
        </w:rPr>
        <w:t xml:space="preserve">en contraste con el valor </w:t>
      </w:r>
      <w:r w:rsidR="00205A2E">
        <w:rPr>
          <w:noProof/>
          <w:lang w:val="es-ES_tradnl"/>
        </w:rPr>
        <w:t>de altura</w:t>
      </w:r>
      <w:r w:rsidR="002E0E22">
        <w:rPr>
          <w:noProof/>
          <w:lang w:val="es-ES_tradnl"/>
        </w:rPr>
        <w:t xml:space="preserve"> de ola observado en el punto del observador</w:t>
      </w:r>
      <w:r w:rsidR="00205A2E">
        <w:rPr>
          <w:noProof/>
          <w:lang w:val="es-ES_tradnl"/>
        </w:rPr>
        <w:t xml:space="preserve">. </w:t>
      </w:r>
    </w:p>
    <w:p w:rsidR="00C73748" w:rsidRPr="00433067" w:rsidRDefault="00BE2F39" w:rsidP="00E15EFF">
      <w:pPr>
        <w:ind w:firstLine="720"/>
        <w:jc w:val="both"/>
        <w:rPr>
          <w:noProof/>
          <w:lang w:val="es-ES_tradnl"/>
        </w:rPr>
      </w:pPr>
      <w:r>
        <w:rPr>
          <w:noProof/>
          <w:lang w:val="es-ES_tradnl"/>
        </w:rPr>
        <w:t>Al mismo tiempo</w:t>
      </w:r>
      <w:r w:rsidR="00EB2EFE" w:rsidRPr="00D70BD1">
        <w:rPr>
          <w:noProof/>
          <w:lang w:val="es-ES_tradnl"/>
        </w:rPr>
        <w:t>, en la</w:t>
      </w:r>
      <w:r w:rsidR="001E589B">
        <w:rPr>
          <w:noProof/>
          <w:lang w:val="es-ES_tradnl"/>
        </w:rPr>
        <w:t>s figuras</w:t>
      </w:r>
      <w:r w:rsidR="00EB2EFE">
        <w:rPr>
          <w:noProof/>
          <w:lang w:val="es-ES_tradnl"/>
        </w:rPr>
        <w:t>. 4-3</w:t>
      </w:r>
      <w:r w:rsidR="001E589B">
        <w:rPr>
          <w:noProof/>
          <w:lang w:val="es-ES_tradnl"/>
        </w:rPr>
        <w:t xml:space="preserve"> y 4-4</w:t>
      </w:r>
      <w:r w:rsidR="00EB2EFE">
        <w:rPr>
          <w:noProof/>
          <w:lang w:val="es-ES_tradnl"/>
        </w:rPr>
        <w:t xml:space="preserve">, </w:t>
      </w:r>
      <w:r w:rsidR="002E0E22">
        <w:rPr>
          <w:noProof/>
          <w:lang w:val="es-ES_tradnl"/>
        </w:rPr>
        <w:t>muestra</w:t>
      </w:r>
      <w:r>
        <w:rPr>
          <w:noProof/>
          <w:lang w:val="es-ES_tradnl"/>
        </w:rPr>
        <w:t>n</w:t>
      </w:r>
      <w:r w:rsidR="002E0E22">
        <w:rPr>
          <w:noProof/>
          <w:lang w:val="es-ES_tradnl"/>
        </w:rPr>
        <w:t xml:space="preserve"> </w:t>
      </w:r>
      <w:r>
        <w:rPr>
          <w:noProof/>
          <w:lang w:val="es-ES_tradnl"/>
        </w:rPr>
        <w:t>dos</w:t>
      </w:r>
      <w:r w:rsidR="00EB2EFE">
        <w:rPr>
          <w:noProof/>
          <w:lang w:val="es-ES_tradnl"/>
        </w:rPr>
        <w:t xml:space="preserve"> </w:t>
      </w:r>
      <w:r>
        <w:rPr>
          <w:noProof/>
          <w:lang w:val="es-ES_tradnl"/>
        </w:rPr>
        <w:t>grá</w:t>
      </w:r>
      <w:r w:rsidR="002E0E22">
        <w:rPr>
          <w:noProof/>
          <w:lang w:val="es-ES_tradnl"/>
        </w:rPr>
        <w:t>fico</w:t>
      </w:r>
      <w:r>
        <w:rPr>
          <w:noProof/>
          <w:lang w:val="es-ES_tradnl"/>
        </w:rPr>
        <w:t>s</w:t>
      </w:r>
      <w:r w:rsidR="00EB2EFE">
        <w:rPr>
          <w:noProof/>
          <w:lang w:val="es-ES_tradnl"/>
        </w:rPr>
        <w:t xml:space="preserve"> de dispersión que relaciona</w:t>
      </w:r>
      <w:r>
        <w:rPr>
          <w:noProof/>
          <w:lang w:val="es-ES_tradnl"/>
        </w:rPr>
        <w:t>n</w:t>
      </w:r>
      <w:r w:rsidR="00EB2EFE">
        <w:rPr>
          <w:noProof/>
          <w:lang w:val="es-ES_tradnl"/>
        </w:rPr>
        <w:t xml:space="preserve"> l</w:t>
      </w:r>
      <w:r w:rsidR="007E0A7C">
        <w:rPr>
          <w:noProof/>
          <w:lang w:val="es-ES_tradnl"/>
        </w:rPr>
        <w:t>as predicciones</w:t>
      </w:r>
      <w:r w:rsidR="002E0E22">
        <w:rPr>
          <w:noProof/>
          <w:lang w:val="es-ES_tradnl"/>
        </w:rPr>
        <w:t xml:space="preserve"> del cada sistema</w:t>
      </w:r>
      <w:r w:rsidR="001E589B">
        <w:rPr>
          <w:noProof/>
          <w:lang w:val="es-ES_tradnl"/>
        </w:rPr>
        <w:t xml:space="preserve"> junto</w:t>
      </w:r>
      <w:r>
        <w:rPr>
          <w:noProof/>
          <w:lang w:val="es-ES_tradnl"/>
        </w:rPr>
        <w:t xml:space="preserve"> a</w:t>
      </w:r>
      <w:r w:rsidR="007E0A7C">
        <w:rPr>
          <w:noProof/>
          <w:lang w:val="es-ES_tradnl"/>
        </w:rPr>
        <w:t xml:space="preserve"> </w:t>
      </w:r>
      <w:r w:rsidR="00EB2EFE">
        <w:rPr>
          <w:noProof/>
          <w:lang w:val="es-ES_tradnl"/>
        </w:rPr>
        <w:t>las observaciones costeras</w:t>
      </w:r>
      <w:r w:rsidR="007E0A7C">
        <w:rPr>
          <w:noProof/>
          <w:lang w:val="es-ES_tradnl"/>
        </w:rPr>
        <w:t xml:space="preserve">, </w:t>
      </w:r>
      <w:r w:rsidR="00EB2EFE">
        <w:rPr>
          <w:noProof/>
          <w:lang w:val="es-ES_tradnl"/>
        </w:rPr>
        <w:t xml:space="preserve">brindando mejor </w:t>
      </w:r>
      <w:r w:rsidR="00EB2EFE">
        <w:rPr>
          <w:noProof/>
          <w:lang w:val="es-ES_tradnl"/>
        </w:rPr>
        <w:lastRenderedPageBreak/>
        <w:t>visibilidad del margen de error</w:t>
      </w:r>
      <w:r w:rsidR="007E0A7C">
        <w:rPr>
          <w:noProof/>
          <w:lang w:val="es-ES_tradnl"/>
        </w:rPr>
        <w:t xml:space="preserve"> de las predicciones. </w:t>
      </w:r>
      <w:r w:rsidR="001E589B">
        <w:rPr>
          <w:noProof/>
          <w:lang w:val="es-ES_tradnl"/>
        </w:rPr>
        <w:t>L</w:t>
      </w:r>
      <w:r w:rsidR="00EB2EFE" w:rsidRPr="00D70BD1">
        <w:rPr>
          <w:noProof/>
          <w:lang w:val="es-ES_tradnl"/>
        </w:rPr>
        <w:t>a linea verde</w:t>
      </w:r>
      <w:r w:rsidR="007E0A7C">
        <w:rPr>
          <w:noProof/>
          <w:lang w:val="es-ES_tradnl"/>
        </w:rPr>
        <w:t xml:space="preserve"> representa los valores ideales</w:t>
      </w:r>
      <w:r w:rsidR="00EB2EFE" w:rsidRPr="00D70BD1">
        <w:rPr>
          <w:noProof/>
          <w:lang w:val="es-ES_tradnl"/>
        </w:rPr>
        <w:t xml:space="preserve"> en que los reporte</w:t>
      </w:r>
      <w:r w:rsidR="002E0E22">
        <w:rPr>
          <w:noProof/>
          <w:lang w:val="es-ES_tradnl"/>
        </w:rPr>
        <w:t>s del modelo son identicos a lo</w:t>
      </w:r>
      <w:r w:rsidR="00EB2EFE" w:rsidRPr="00D70BD1">
        <w:rPr>
          <w:noProof/>
          <w:lang w:val="es-ES_tradnl"/>
        </w:rPr>
        <w:t xml:space="preserve"> </w:t>
      </w:r>
      <w:r w:rsidR="002E0E22">
        <w:rPr>
          <w:noProof/>
          <w:lang w:val="es-ES_tradnl"/>
        </w:rPr>
        <w:t>observado</w:t>
      </w:r>
      <w:r w:rsidR="00EB2EFE" w:rsidRPr="00D70BD1">
        <w:rPr>
          <w:noProof/>
          <w:lang w:val="es-ES_tradnl"/>
        </w:rPr>
        <w:t xml:space="preserve"> en la costa</w:t>
      </w:r>
      <w:r w:rsidR="001E589B">
        <w:rPr>
          <w:noProof/>
          <w:lang w:val="es-ES_tradnl"/>
        </w:rPr>
        <w:t>.</w:t>
      </w:r>
      <w:r w:rsidR="001E589B">
        <w:rPr>
          <w:lang w:val="es-ES_tradnl"/>
        </w:rPr>
        <w:t xml:space="preserve"> </w:t>
      </w:r>
    </w:p>
    <w:p w:rsidR="00C73748" w:rsidRDefault="00C73748">
      <w:pPr>
        <w:sectPr w:rsidR="00C73748" w:rsidSect="00C7374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3748" w:rsidRDefault="00C73748" w:rsidP="00E15EFF">
      <w:pPr>
        <w:jc w:val="center"/>
      </w:pPr>
      <w:r w:rsidRPr="00C73748">
        <w:rPr>
          <w:noProof/>
          <w:lang w:val="es-ES" w:eastAsia="es-ES"/>
        </w:rPr>
        <w:lastRenderedPageBreak/>
        <w:drawing>
          <wp:inline distT="0" distB="0" distL="0" distR="0">
            <wp:extent cx="8249482" cy="2175642"/>
            <wp:effectExtent l="19050" t="0" r="18218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7451" w:rsidRDefault="00CE406B" w:rsidP="0023181F">
      <w:pPr>
        <w:jc w:val="center"/>
        <w:rPr>
          <w:lang w:val="es-ES_tradnl"/>
        </w:rPr>
      </w:pPr>
      <w:r>
        <w:rPr>
          <w:lang w:val="es-ES_tradnl"/>
        </w:rPr>
        <w:t xml:space="preserve">Fig. 4.2: Altura de ola </w:t>
      </w:r>
      <w:r w:rsidR="009A7451">
        <w:rPr>
          <w:lang w:val="es-ES_tradnl"/>
        </w:rPr>
        <w:t>predicha</w:t>
      </w:r>
      <w:r>
        <w:rPr>
          <w:lang w:val="es-ES_tradnl"/>
        </w:rPr>
        <w:t xml:space="preserve"> en</w:t>
      </w:r>
      <w:r w:rsidR="009A7451">
        <w:rPr>
          <w:lang w:val="es-ES_tradnl"/>
        </w:rPr>
        <w:t xml:space="preserve"> Sunset por WAVEWATCH III en contraste con las obs</w:t>
      </w:r>
      <w:r>
        <w:rPr>
          <w:lang w:val="es-ES_tradnl"/>
        </w:rPr>
        <w:t>ervaciones visuales en la costa.</w:t>
      </w:r>
    </w:p>
    <w:p w:rsidR="000A59E5" w:rsidRPr="000A59E5" w:rsidRDefault="0023181F" w:rsidP="00E15EFF">
      <w:pPr>
        <w:jc w:val="center"/>
        <w:rPr>
          <w:lang w:val="es-ES_tradnl"/>
        </w:rPr>
      </w:pPr>
      <w:r w:rsidRPr="00E26C6B">
        <w:rPr>
          <w:noProof/>
          <w:lang w:val="es-ES" w:eastAsia="es-ES"/>
        </w:rPr>
        <w:drawing>
          <wp:inline distT="0" distB="0" distL="0" distR="0">
            <wp:extent cx="8238948" cy="2200939"/>
            <wp:effectExtent l="19050" t="0" r="9702" b="8861"/>
            <wp:docPr id="1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3748" w:rsidRPr="0023181F" w:rsidRDefault="00CE406B" w:rsidP="0023181F">
      <w:pPr>
        <w:jc w:val="center"/>
        <w:rPr>
          <w:lang w:val="es-ES_tradnl"/>
        </w:rPr>
        <w:sectPr w:rsidR="00C73748" w:rsidRPr="0023181F" w:rsidSect="00220655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lang w:val="es-ES_tradnl"/>
        </w:rPr>
        <w:t>Fig. 4.3: Altura de la ola predicha en Sunset por SVM en contraste con las observaciones visuales en la costa.</w:t>
      </w:r>
    </w:p>
    <w:p w:rsidR="00864B03" w:rsidRDefault="00864B03" w:rsidP="00E15EFF">
      <w:pPr>
        <w:jc w:val="center"/>
      </w:pPr>
      <w:r w:rsidRPr="00864B03">
        <w:rPr>
          <w:noProof/>
          <w:lang w:val="es-ES" w:eastAsia="es-ES"/>
        </w:rPr>
        <w:lastRenderedPageBreak/>
        <w:drawing>
          <wp:inline distT="0" distB="0" distL="0" distR="0">
            <wp:extent cx="5390318" cy="3373821"/>
            <wp:effectExtent l="19050" t="0" r="19882" b="0"/>
            <wp:docPr id="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E406B" w:rsidRDefault="00CE406B" w:rsidP="00CE406B">
      <w:pPr>
        <w:jc w:val="center"/>
      </w:pPr>
      <w:r>
        <w:t>Fig. 4.4: Grafico de dispersión (en base a la altura de las olas) en Sunset entre las predicciones de WAVEWATCH III y las observaciones costeras.</w:t>
      </w:r>
    </w:p>
    <w:p w:rsidR="00864B03" w:rsidRDefault="00864B03"/>
    <w:p w:rsidR="00864B03" w:rsidRDefault="00864B03" w:rsidP="00E15EFF">
      <w:pPr>
        <w:jc w:val="center"/>
      </w:pPr>
      <w:r w:rsidRPr="00864B03">
        <w:rPr>
          <w:noProof/>
          <w:lang w:val="es-ES" w:eastAsia="es-ES"/>
        </w:rPr>
        <w:drawing>
          <wp:inline distT="0" distB="0" distL="0" distR="0">
            <wp:extent cx="5376983" cy="3247696"/>
            <wp:effectExtent l="19050" t="0" r="14167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E406B" w:rsidRDefault="00CE406B" w:rsidP="00CE406B">
      <w:pPr>
        <w:jc w:val="center"/>
      </w:pPr>
      <w:r>
        <w:t>Fig. 4.5: Grafico de dispersión (en base a la altura de las olas) en Sunset entre las predicciones de SVM y las observaciones costeras.</w:t>
      </w:r>
    </w:p>
    <w:p w:rsidR="00433067" w:rsidRDefault="00433067" w:rsidP="00E15EFF">
      <w:pPr>
        <w:ind w:firstLine="708"/>
        <w:jc w:val="both"/>
        <w:rPr>
          <w:lang w:val="es-ES_tradnl"/>
        </w:rPr>
      </w:pPr>
      <w:r>
        <w:rPr>
          <w:lang w:val="es-ES_tradnl"/>
        </w:rPr>
        <w:lastRenderedPageBreak/>
        <w:t xml:space="preserve">Tanto en las tablas como en los gráficos descriptos anteriormente se puede observar la mejora en la predicción provista por el clasificador frente al sistema WAVEWATCH. En las tablas 4.7 y 4.8 vemos un incremento en la correlación de un 7% y una disminución del error absoluto promedio de 55 cm, es decir una mejora de un 40% en el error absoluto medio.  </w:t>
      </w:r>
    </w:p>
    <w:p w:rsidR="00433067" w:rsidRDefault="00433067" w:rsidP="00433067">
      <w:pPr>
        <w:jc w:val="both"/>
      </w:pPr>
      <w:r>
        <w:rPr>
          <w:lang w:val="es-ES_tradnl"/>
        </w:rPr>
        <w:tab/>
        <w:t>En el grafico de líneas se observa como la utilización del clasificador logra un mejor acople entre la línea de predicción (roja) y la línea del valor observado en costa (azul). En cuanto a los  gráficos de dispersión, se nota como la utilización del clasificador permite una disminución marcada de la distancia de todos los puntos con respecto a la línea de ajuste perfecto, dejando en evidencia la disminución del margen de error, entre predicciones y observaciones</w:t>
      </w:r>
      <w:r w:rsidR="00E15EFF">
        <w:rPr>
          <w:lang w:val="es-ES_tradnl"/>
        </w:rPr>
        <w:t>.</w:t>
      </w:r>
    </w:p>
    <w:sectPr w:rsidR="00433067" w:rsidSect="00C737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727B"/>
    <w:rsid w:val="00053ED0"/>
    <w:rsid w:val="0006140B"/>
    <w:rsid w:val="00077252"/>
    <w:rsid w:val="000A4689"/>
    <w:rsid w:val="000A59E5"/>
    <w:rsid w:val="001109F5"/>
    <w:rsid w:val="001A5EE8"/>
    <w:rsid w:val="001C4A44"/>
    <w:rsid w:val="001D0843"/>
    <w:rsid w:val="001E589B"/>
    <w:rsid w:val="00205A2E"/>
    <w:rsid w:val="00220655"/>
    <w:rsid w:val="0023181F"/>
    <w:rsid w:val="0025529E"/>
    <w:rsid w:val="002E0E22"/>
    <w:rsid w:val="002F0AA9"/>
    <w:rsid w:val="003635D6"/>
    <w:rsid w:val="003A667B"/>
    <w:rsid w:val="00433067"/>
    <w:rsid w:val="005246F8"/>
    <w:rsid w:val="005A3612"/>
    <w:rsid w:val="005D2C65"/>
    <w:rsid w:val="005D78FC"/>
    <w:rsid w:val="0067792A"/>
    <w:rsid w:val="006950AA"/>
    <w:rsid w:val="006B55F1"/>
    <w:rsid w:val="007B0B1B"/>
    <w:rsid w:val="007E0A7C"/>
    <w:rsid w:val="00864B03"/>
    <w:rsid w:val="008C505E"/>
    <w:rsid w:val="00902E2A"/>
    <w:rsid w:val="00966182"/>
    <w:rsid w:val="009A39F2"/>
    <w:rsid w:val="009A7451"/>
    <w:rsid w:val="009D71E7"/>
    <w:rsid w:val="00A42648"/>
    <w:rsid w:val="00A5117D"/>
    <w:rsid w:val="00A72453"/>
    <w:rsid w:val="00B05DBD"/>
    <w:rsid w:val="00B24EB1"/>
    <w:rsid w:val="00B50EB5"/>
    <w:rsid w:val="00B5727B"/>
    <w:rsid w:val="00B66906"/>
    <w:rsid w:val="00BD26CE"/>
    <w:rsid w:val="00BE0096"/>
    <w:rsid w:val="00BE2F39"/>
    <w:rsid w:val="00C73748"/>
    <w:rsid w:val="00CE406B"/>
    <w:rsid w:val="00D11A08"/>
    <w:rsid w:val="00D47E4E"/>
    <w:rsid w:val="00D717F3"/>
    <w:rsid w:val="00D81ED5"/>
    <w:rsid w:val="00D825D1"/>
    <w:rsid w:val="00DA5CB7"/>
    <w:rsid w:val="00E01302"/>
    <w:rsid w:val="00E15EFF"/>
    <w:rsid w:val="00E26C6B"/>
    <w:rsid w:val="00EB2EFE"/>
    <w:rsid w:val="00F86F42"/>
    <w:rsid w:val="00FA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27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D2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Sunset- Observacion Visual / Wave Watch 3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23E-2"/>
          <c:y val="0.16285573489051142"/>
          <c:w val="0.91229087688864363"/>
          <c:h val="0.42844667523761942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1.2189999999999976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0.61000000000000065</c:v>
                </c:pt>
                <c:pt idx="10">
                  <c:v>4.2669999999999995</c:v>
                </c:pt>
                <c:pt idx="11">
                  <c:v>1.2189999999999976</c:v>
                </c:pt>
                <c:pt idx="12">
                  <c:v>0.61000000000000065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0.61000000000000065</c:v>
                </c:pt>
                <c:pt idx="16">
                  <c:v>0.61000000000000065</c:v>
                </c:pt>
                <c:pt idx="17">
                  <c:v>0.61000000000000065</c:v>
                </c:pt>
                <c:pt idx="18">
                  <c:v>0.61000000000000065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1.2189999999999976</c:v>
                </c:pt>
                <c:pt idx="23">
                  <c:v>4.2669999999999995</c:v>
                </c:pt>
                <c:pt idx="24">
                  <c:v>0.61000000000000065</c:v>
                </c:pt>
                <c:pt idx="25">
                  <c:v>1.2189999999999976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1.2189999999999976</c:v>
                </c:pt>
                <c:pt idx="30">
                  <c:v>1.2189999999999976</c:v>
                </c:pt>
                <c:pt idx="31">
                  <c:v>7.3149999999999915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1.2189999999999976</c:v>
                </c:pt>
                <c:pt idx="38">
                  <c:v>2.4379999999999997</c:v>
                </c:pt>
                <c:pt idx="39">
                  <c:v>0.61000000000000065</c:v>
                </c:pt>
                <c:pt idx="40">
                  <c:v>4.8769999999999998</c:v>
                </c:pt>
                <c:pt idx="41">
                  <c:v>0.61000000000000065</c:v>
                </c:pt>
                <c:pt idx="42">
                  <c:v>1.2189999999999976</c:v>
                </c:pt>
                <c:pt idx="43">
                  <c:v>2.4379999999999997</c:v>
                </c:pt>
                <c:pt idx="44">
                  <c:v>1.2189999999999976</c:v>
                </c:pt>
                <c:pt idx="45">
                  <c:v>10.973000000000004</c:v>
                </c:pt>
                <c:pt idx="46">
                  <c:v>1.2189999999999976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0.61000000000000065</c:v>
                </c:pt>
                <c:pt idx="53">
                  <c:v>2.4379999999999997</c:v>
                </c:pt>
                <c:pt idx="54">
                  <c:v>0.61000000000000065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10.363000000000016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0.61000000000000065</c:v>
                </c:pt>
                <c:pt idx="61">
                  <c:v>0.61000000000000065</c:v>
                </c:pt>
                <c:pt idx="62">
                  <c:v>6.0960000000000001</c:v>
                </c:pt>
                <c:pt idx="63">
                  <c:v>0.61000000000000065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Sheet1!$E$2:$E$65</c:f>
              <c:numCache>
                <c:formatCode>General</c:formatCode>
                <c:ptCount val="64"/>
                <c:pt idx="0">
                  <c:v>1.7900000000000009</c:v>
                </c:pt>
                <c:pt idx="1">
                  <c:v>3.3099999999999987</c:v>
                </c:pt>
                <c:pt idx="2">
                  <c:v>4.3599999999999985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1.920000000000001</c:v>
                </c:pt>
                <c:pt idx="7">
                  <c:v>2.0299999999999998</c:v>
                </c:pt>
                <c:pt idx="8">
                  <c:v>2.8099999999999987</c:v>
                </c:pt>
                <c:pt idx="9">
                  <c:v>1.7100000000000009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2.3299999999999987</c:v>
                </c:pt>
                <c:pt idx="14">
                  <c:v>3.3899999999999997</c:v>
                </c:pt>
                <c:pt idx="15">
                  <c:v>1.9500000000000011</c:v>
                </c:pt>
                <c:pt idx="16">
                  <c:v>1.42</c:v>
                </c:pt>
                <c:pt idx="17">
                  <c:v>1.7300000000000009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1.7800000000000009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3.3499999999999988</c:v>
                </c:pt>
                <c:pt idx="51">
                  <c:v>4.7699999999999996</c:v>
                </c:pt>
                <c:pt idx="52">
                  <c:v>1.6800000000000019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1.9800000000000011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yVal>
        </c:ser>
        <c:axId val="90360448"/>
        <c:axId val="92537600"/>
      </c:scatterChart>
      <c:valAx>
        <c:axId val="90360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92537600"/>
        <c:crosses val="autoZero"/>
        <c:crossBetween val="midCat"/>
        <c:majorUnit val="5"/>
      </c:valAx>
      <c:valAx>
        <c:axId val="925376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43E-3"/>
              <c:y val="0.29042414159710978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036044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31"/>
          <c:h val="0.16317756172635522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Sunset- Observacion Visual / Máquina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42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1.2189999999999972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0.61000000000000065</c:v>
                </c:pt>
                <c:pt idx="10">
                  <c:v>4.2669999999999995</c:v>
                </c:pt>
                <c:pt idx="11">
                  <c:v>1.2189999999999972</c:v>
                </c:pt>
                <c:pt idx="12">
                  <c:v>0.61000000000000065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0.61000000000000065</c:v>
                </c:pt>
                <c:pt idx="16">
                  <c:v>0.61000000000000065</c:v>
                </c:pt>
                <c:pt idx="17">
                  <c:v>0.61000000000000065</c:v>
                </c:pt>
                <c:pt idx="18">
                  <c:v>0.61000000000000065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1.2189999999999972</c:v>
                </c:pt>
                <c:pt idx="23">
                  <c:v>4.2669999999999995</c:v>
                </c:pt>
                <c:pt idx="24">
                  <c:v>0.61000000000000065</c:v>
                </c:pt>
                <c:pt idx="25">
                  <c:v>1.2189999999999972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1.2189999999999972</c:v>
                </c:pt>
                <c:pt idx="30">
                  <c:v>1.2189999999999972</c:v>
                </c:pt>
                <c:pt idx="31">
                  <c:v>7.3149999999999897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1.2189999999999972</c:v>
                </c:pt>
                <c:pt idx="38">
                  <c:v>2.4379999999999997</c:v>
                </c:pt>
                <c:pt idx="39">
                  <c:v>0.61000000000000065</c:v>
                </c:pt>
                <c:pt idx="40">
                  <c:v>4.8769999999999998</c:v>
                </c:pt>
                <c:pt idx="41">
                  <c:v>0.61000000000000065</c:v>
                </c:pt>
                <c:pt idx="42">
                  <c:v>1.2189999999999972</c:v>
                </c:pt>
                <c:pt idx="43">
                  <c:v>2.4379999999999997</c:v>
                </c:pt>
                <c:pt idx="44">
                  <c:v>1.2189999999999972</c:v>
                </c:pt>
                <c:pt idx="45">
                  <c:v>10.973000000000004</c:v>
                </c:pt>
                <c:pt idx="46">
                  <c:v>1.2189999999999972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0.61000000000000065</c:v>
                </c:pt>
                <c:pt idx="53">
                  <c:v>2.4379999999999997</c:v>
                </c:pt>
                <c:pt idx="54">
                  <c:v>0.61000000000000065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10.363000000000019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0.61000000000000065</c:v>
                </c:pt>
                <c:pt idx="61">
                  <c:v>0.61000000000000065</c:v>
                </c:pt>
                <c:pt idx="62">
                  <c:v>6.0960000000000001</c:v>
                </c:pt>
                <c:pt idx="63">
                  <c:v>0.61000000000000065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numRef>
              <c:f>Sheet1!$A$2:$A$65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0.82000000000000062</c:v>
                </c:pt>
                <c:pt idx="7">
                  <c:v>0.96800000000000064</c:v>
                </c:pt>
                <c:pt idx="8">
                  <c:v>1.9800000000000026</c:v>
                </c:pt>
                <c:pt idx="9">
                  <c:v>0.71100000000000063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0.75300000000000133</c:v>
                </c:pt>
                <c:pt idx="13">
                  <c:v>2.8809999999999998</c:v>
                </c:pt>
                <c:pt idx="14">
                  <c:v>5.4390000000000107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4.9700000000000024</c:v>
                </c:pt>
                <c:pt idx="21">
                  <c:v>0.68899999999999995</c:v>
                </c:pt>
                <c:pt idx="22">
                  <c:v>1.0289999999999973</c:v>
                </c:pt>
                <c:pt idx="23">
                  <c:v>1.734</c:v>
                </c:pt>
                <c:pt idx="24">
                  <c:v>0.84400000000000064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1.2069999999999972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0.77900000000000158</c:v>
                </c:pt>
                <c:pt idx="38">
                  <c:v>2.8179999999999987</c:v>
                </c:pt>
                <c:pt idx="39">
                  <c:v>1.585</c:v>
                </c:pt>
                <c:pt idx="40">
                  <c:v>5.8039999999999985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1.2609999999999972</c:v>
                </c:pt>
                <c:pt idx="45">
                  <c:v>5.7910000000000004</c:v>
                </c:pt>
                <c:pt idx="46">
                  <c:v>1.8959999999999972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1.6459999999999972</c:v>
                </c:pt>
                <c:pt idx="54">
                  <c:v>0.90500000000000003</c:v>
                </c:pt>
                <c:pt idx="55">
                  <c:v>5.6579999999999897</c:v>
                </c:pt>
                <c:pt idx="56">
                  <c:v>1.1659999999999973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yVal>
        </c:ser>
        <c:axId val="92595712"/>
        <c:axId val="92597632"/>
      </c:scatterChart>
      <c:valAx>
        <c:axId val="925957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 sz="1000" b="1" i="0" u="none" strike="noStrike" baseline="0"/>
                  <a:t>Día de observación</a:t>
                </a:r>
                <a:endParaRPr lang="es-AR"/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92597632"/>
        <c:crosses val="autoZero"/>
        <c:crossBetween val="midCat"/>
        <c:majorUnit val="5"/>
      </c:valAx>
      <c:valAx>
        <c:axId val="9259763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43E-3"/>
              <c:y val="0.29042414159710978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25957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31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41E-2"/>
          <c:w val="0.87042860499284569"/>
          <c:h val="0.75935138208448194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1.79</c:v>
                </c:pt>
                <c:pt idx="1">
                  <c:v>3.3099999999999987</c:v>
                </c:pt>
                <c:pt idx="2">
                  <c:v>4.3599999999999985</c:v>
                </c:pt>
                <c:pt idx="3">
                  <c:v>2.2000000000000002</c:v>
                </c:pt>
                <c:pt idx="4">
                  <c:v>2.23</c:v>
                </c:pt>
                <c:pt idx="5">
                  <c:v>1.6300000000000001</c:v>
                </c:pt>
                <c:pt idx="6">
                  <c:v>1.9200000000000019</c:v>
                </c:pt>
                <c:pt idx="7">
                  <c:v>2.0299999999999998</c:v>
                </c:pt>
                <c:pt idx="8">
                  <c:v>2.8099999999999987</c:v>
                </c:pt>
                <c:pt idx="9">
                  <c:v>1.71</c:v>
                </c:pt>
                <c:pt idx="10">
                  <c:v>2.9699999999999998</c:v>
                </c:pt>
                <c:pt idx="11">
                  <c:v>1.47</c:v>
                </c:pt>
                <c:pt idx="12">
                  <c:v>1.8800000000000001</c:v>
                </c:pt>
                <c:pt idx="13">
                  <c:v>2.3299999999999987</c:v>
                </c:pt>
                <c:pt idx="14">
                  <c:v>3.3899999999999997</c:v>
                </c:pt>
                <c:pt idx="15">
                  <c:v>1.950000000000002</c:v>
                </c:pt>
                <c:pt idx="16">
                  <c:v>1.42</c:v>
                </c:pt>
                <c:pt idx="17">
                  <c:v>1.73</c:v>
                </c:pt>
                <c:pt idx="18">
                  <c:v>1.33</c:v>
                </c:pt>
                <c:pt idx="19">
                  <c:v>3.03</c:v>
                </c:pt>
                <c:pt idx="20">
                  <c:v>3.15</c:v>
                </c:pt>
                <c:pt idx="21">
                  <c:v>1.78</c:v>
                </c:pt>
                <c:pt idx="22">
                  <c:v>1.59</c:v>
                </c:pt>
                <c:pt idx="23">
                  <c:v>2.71</c:v>
                </c:pt>
                <c:pt idx="24">
                  <c:v>1.57</c:v>
                </c:pt>
                <c:pt idx="25">
                  <c:v>2.02</c:v>
                </c:pt>
                <c:pt idx="26">
                  <c:v>3.6</c:v>
                </c:pt>
                <c:pt idx="27">
                  <c:v>2.19</c:v>
                </c:pt>
                <c:pt idx="28">
                  <c:v>2.61</c:v>
                </c:pt>
                <c:pt idx="29">
                  <c:v>2.2200000000000002</c:v>
                </c:pt>
                <c:pt idx="30">
                  <c:v>1.47</c:v>
                </c:pt>
                <c:pt idx="31">
                  <c:v>5.79</c:v>
                </c:pt>
                <c:pt idx="32">
                  <c:v>2.8699999999999997</c:v>
                </c:pt>
                <c:pt idx="33">
                  <c:v>3.09</c:v>
                </c:pt>
                <c:pt idx="34">
                  <c:v>2.63</c:v>
                </c:pt>
                <c:pt idx="35">
                  <c:v>2.48</c:v>
                </c:pt>
                <c:pt idx="36">
                  <c:v>2.46</c:v>
                </c:pt>
                <c:pt idx="37">
                  <c:v>1.6300000000000001</c:v>
                </c:pt>
                <c:pt idx="38">
                  <c:v>2.13</c:v>
                </c:pt>
                <c:pt idx="39">
                  <c:v>2.11</c:v>
                </c:pt>
                <c:pt idx="40">
                  <c:v>3.15</c:v>
                </c:pt>
                <c:pt idx="41">
                  <c:v>1.83</c:v>
                </c:pt>
                <c:pt idx="42">
                  <c:v>2.1800000000000002</c:v>
                </c:pt>
                <c:pt idx="43">
                  <c:v>1.54</c:v>
                </c:pt>
                <c:pt idx="44">
                  <c:v>2.04</c:v>
                </c:pt>
                <c:pt idx="45">
                  <c:v>4.0199999999999996</c:v>
                </c:pt>
                <c:pt idx="46">
                  <c:v>1.55</c:v>
                </c:pt>
                <c:pt idx="47">
                  <c:v>1.9000000000000001</c:v>
                </c:pt>
                <c:pt idx="48">
                  <c:v>5.6</c:v>
                </c:pt>
                <c:pt idx="49">
                  <c:v>2.13</c:v>
                </c:pt>
                <c:pt idx="50">
                  <c:v>3.3499999999999988</c:v>
                </c:pt>
                <c:pt idx="51">
                  <c:v>4.7699999999999996</c:v>
                </c:pt>
                <c:pt idx="52">
                  <c:v>1.6800000000000019</c:v>
                </c:pt>
                <c:pt idx="53">
                  <c:v>2.69</c:v>
                </c:pt>
                <c:pt idx="54">
                  <c:v>1.9000000000000001</c:v>
                </c:pt>
                <c:pt idx="55">
                  <c:v>2.98</c:v>
                </c:pt>
                <c:pt idx="56">
                  <c:v>1.9800000000000022</c:v>
                </c:pt>
                <c:pt idx="57">
                  <c:v>5.79</c:v>
                </c:pt>
                <c:pt idx="58">
                  <c:v>3.94</c:v>
                </c:pt>
                <c:pt idx="59">
                  <c:v>2.63</c:v>
                </c:pt>
                <c:pt idx="60">
                  <c:v>2.5</c:v>
                </c:pt>
                <c:pt idx="61">
                  <c:v>2.0299999999999998</c:v>
                </c:pt>
                <c:pt idx="62">
                  <c:v>3.16</c:v>
                </c:pt>
                <c:pt idx="63">
                  <c:v>2.19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1.2189999999999976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0.61000000000000065</c:v>
                </c:pt>
                <c:pt idx="10">
                  <c:v>4.2669999999999995</c:v>
                </c:pt>
                <c:pt idx="11">
                  <c:v>1.2189999999999976</c:v>
                </c:pt>
                <c:pt idx="12">
                  <c:v>0.61000000000000065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0.61000000000000065</c:v>
                </c:pt>
                <c:pt idx="16">
                  <c:v>0.61000000000000065</c:v>
                </c:pt>
                <c:pt idx="17">
                  <c:v>0.61000000000000065</c:v>
                </c:pt>
                <c:pt idx="18">
                  <c:v>0.61000000000000065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1.2189999999999976</c:v>
                </c:pt>
                <c:pt idx="23">
                  <c:v>4.2669999999999995</c:v>
                </c:pt>
                <c:pt idx="24">
                  <c:v>0.61000000000000065</c:v>
                </c:pt>
                <c:pt idx="25">
                  <c:v>1.2189999999999976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1.2189999999999976</c:v>
                </c:pt>
                <c:pt idx="30">
                  <c:v>1.2189999999999976</c:v>
                </c:pt>
                <c:pt idx="31">
                  <c:v>7.3149999999999915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1.2189999999999976</c:v>
                </c:pt>
                <c:pt idx="38">
                  <c:v>2.4379999999999997</c:v>
                </c:pt>
                <c:pt idx="39">
                  <c:v>0.61000000000000065</c:v>
                </c:pt>
                <c:pt idx="40">
                  <c:v>4.8769999999999998</c:v>
                </c:pt>
                <c:pt idx="41">
                  <c:v>0.61000000000000065</c:v>
                </c:pt>
                <c:pt idx="42">
                  <c:v>1.2189999999999976</c:v>
                </c:pt>
                <c:pt idx="43">
                  <c:v>2.4379999999999997</c:v>
                </c:pt>
                <c:pt idx="44">
                  <c:v>1.2189999999999976</c:v>
                </c:pt>
                <c:pt idx="45">
                  <c:v>10.973000000000004</c:v>
                </c:pt>
                <c:pt idx="46">
                  <c:v>1.2189999999999976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0.61000000000000065</c:v>
                </c:pt>
                <c:pt idx="53">
                  <c:v>2.4379999999999997</c:v>
                </c:pt>
                <c:pt idx="54">
                  <c:v>0.61000000000000065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10.363000000000016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0.61000000000000065</c:v>
                </c:pt>
                <c:pt idx="61">
                  <c:v>0.61000000000000065</c:v>
                </c:pt>
                <c:pt idx="62">
                  <c:v>6.0960000000000001</c:v>
                </c:pt>
                <c:pt idx="63">
                  <c:v>0.61000000000000065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92644480"/>
        <c:axId val="92646400"/>
      </c:scatterChart>
      <c:valAx>
        <c:axId val="92644480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Wave</a:t>
                </a:r>
                <a:r>
                  <a:rPr lang="es-AR" baseline="0"/>
                  <a:t>Watch 3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92646400"/>
        <c:crosses val="autoZero"/>
        <c:crossBetween val="midCat"/>
        <c:majorUnit val="2"/>
      </c:valAx>
      <c:valAx>
        <c:axId val="92646400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2644480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55E-2"/>
          <c:w val="0.87042860499284569"/>
          <c:h val="0.75935138208448172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0.80600000000000005</c:v>
                </c:pt>
                <c:pt idx="1">
                  <c:v>3.145</c:v>
                </c:pt>
                <c:pt idx="2">
                  <c:v>8.1239999999999988</c:v>
                </c:pt>
                <c:pt idx="3">
                  <c:v>1.9650000000000001</c:v>
                </c:pt>
                <c:pt idx="4">
                  <c:v>2.887</c:v>
                </c:pt>
                <c:pt idx="5">
                  <c:v>1.165</c:v>
                </c:pt>
                <c:pt idx="6">
                  <c:v>0.82000000000000062</c:v>
                </c:pt>
                <c:pt idx="7">
                  <c:v>0.96800000000000064</c:v>
                </c:pt>
                <c:pt idx="8">
                  <c:v>1.9800000000000022</c:v>
                </c:pt>
                <c:pt idx="9">
                  <c:v>0.71100000000000063</c:v>
                </c:pt>
                <c:pt idx="10">
                  <c:v>4.758</c:v>
                </c:pt>
                <c:pt idx="11">
                  <c:v>1.002</c:v>
                </c:pt>
                <c:pt idx="12">
                  <c:v>0.75300000000000111</c:v>
                </c:pt>
                <c:pt idx="13">
                  <c:v>2.8809999999999998</c:v>
                </c:pt>
                <c:pt idx="14">
                  <c:v>5.4390000000000089</c:v>
                </c:pt>
                <c:pt idx="15">
                  <c:v>0.82399999999999995</c:v>
                </c:pt>
                <c:pt idx="16">
                  <c:v>1.0680000000000001</c:v>
                </c:pt>
                <c:pt idx="17">
                  <c:v>0.89200000000000002</c:v>
                </c:pt>
                <c:pt idx="18">
                  <c:v>0.54100000000000004</c:v>
                </c:pt>
                <c:pt idx="19">
                  <c:v>3.7669999999999999</c:v>
                </c:pt>
                <c:pt idx="20">
                  <c:v>4.9700000000000024</c:v>
                </c:pt>
                <c:pt idx="21">
                  <c:v>0.68899999999999995</c:v>
                </c:pt>
                <c:pt idx="22">
                  <c:v>1.0289999999999977</c:v>
                </c:pt>
                <c:pt idx="23">
                  <c:v>1.734</c:v>
                </c:pt>
                <c:pt idx="24">
                  <c:v>0.84400000000000064</c:v>
                </c:pt>
                <c:pt idx="25">
                  <c:v>0.88100000000000001</c:v>
                </c:pt>
                <c:pt idx="26">
                  <c:v>4.4809999999999999</c:v>
                </c:pt>
                <c:pt idx="27">
                  <c:v>2.403</c:v>
                </c:pt>
                <c:pt idx="28">
                  <c:v>2.641</c:v>
                </c:pt>
                <c:pt idx="29">
                  <c:v>1.2069999999999976</c:v>
                </c:pt>
                <c:pt idx="30">
                  <c:v>1.768</c:v>
                </c:pt>
                <c:pt idx="31">
                  <c:v>8.9940000000000015</c:v>
                </c:pt>
                <c:pt idx="32">
                  <c:v>3.6269999999999998</c:v>
                </c:pt>
                <c:pt idx="33">
                  <c:v>4.08</c:v>
                </c:pt>
                <c:pt idx="34">
                  <c:v>3.4659999999999997</c:v>
                </c:pt>
                <c:pt idx="35">
                  <c:v>3.694</c:v>
                </c:pt>
                <c:pt idx="36">
                  <c:v>2.48</c:v>
                </c:pt>
                <c:pt idx="37">
                  <c:v>0.77900000000000125</c:v>
                </c:pt>
                <c:pt idx="38">
                  <c:v>2.8179999999999987</c:v>
                </c:pt>
                <c:pt idx="39">
                  <c:v>1.585</c:v>
                </c:pt>
                <c:pt idx="40">
                  <c:v>5.8039999999999985</c:v>
                </c:pt>
                <c:pt idx="41">
                  <c:v>0.90200000000000002</c:v>
                </c:pt>
                <c:pt idx="42">
                  <c:v>1.339</c:v>
                </c:pt>
                <c:pt idx="43">
                  <c:v>2.3899999999999997</c:v>
                </c:pt>
                <c:pt idx="44">
                  <c:v>1.2609999999999977</c:v>
                </c:pt>
                <c:pt idx="45">
                  <c:v>5.7910000000000004</c:v>
                </c:pt>
                <c:pt idx="46">
                  <c:v>1.8959999999999977</c:v>
                </c:pt>
                <c:pt idx="47">
                  <c:v>3.2330000000000001</c:v>
                </c:pt>
                <c:pt idx="48">
                  <c:v>11.099</c:v>
                </c:pt>
                <c:pt idx="49">
                  <c:v>2.8249999999999997</c:v>
                </c:pt>
                <c:pt idx="50">
                  <c:v>3.1739999999999999</c:v>
                </c:pt>
                <c:pt idx="51">
                  <c:v>6.8</c:v>
                </c:pt>
                <c:pt idx="52">
                  <c:v>1.161</c:v>
                </c:pt>
                <c:pt idx="53">
                  <c:v>1.6459999999999977</c:v>
                </c:pt>
                <c:pt idx="54">
                  <c:v>0.90500000000000003</c:v>
                </c:pt>
                <c:pt idx="55">
                  <c:v>5.6579999999999915</c:v>
                </c:pt>
                <c:pt idx="56">
                  <c:v>1.1659999999999977</c:v>
                </c:pt>
                <c:pt idx="57">
                  <c:v>10.596</c:v>
                </c:pt>
                <c:pt idx="58">
                  <c:v>5.2460000000000004</c:v>
                </c:pt>
                <c:pt idx="59">
                  <c:v>2.8699999999999997</c:v>
                </c:pt>
                <c:pt idx="60">
                  <c:v>1.712</c:v>
                </c:pt>
                <c:pt idx="61">
                  <c:v>1.095</c:v>
                </c:pt>
                <c:pt idx="62">
                  <c:v>5.4690000000000003</c:v>
                </c:pt>
                <c:pt idx="63">
                  <c:v>0.92800000000000005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3.6579999999999999</c:v>
                </c:pt>
                <c:pt idx="2">
                  <c:v>5.4859999999999998</c:v>
                </c:pt>
                <c:pt idx="3">
                  <c:v>3.048</c:v>
                </c:pt>
                <c:pt idx="4">
                  <c:v>3.6579999999999999</c:v>
                </c:pt>
                <c:pt idx="5">
                  <c:v>1.2189999999999976</c:v>
                </c:pt>
                <c:pt idx="6">
                  <c:v>1.829</c:v>
                </c:pt>
                <c:pt idx="7">
                  <c:v>1.829</c:v>
                </c:pt>
                <c:pt idx="8">
                  <c:v>2.4379999999999997</c:v>
                </c:pt>
                <c:pt idx="9">
                  <c:v>0.61000000000000065</c:v>
                </c:pt>
                <c:pt idx="10">
                  <c:v>4.2669999999999995</c:v>
                </c:pt>
                <c:pt idx="11">
                  <c:v>1.2189999999999976</c:v>
                </c:pt>
                <c:pt idx="12">
                  <c:v>0.61000000000000065</c:v>
                </c:pt>
                <c:pt idx="13">
                  <c:v>3.048</c:v>
                </c:pt>
                <c:pt idx="14">
                  <c:v>4.8769999999999998</c:v>
                </c:pt>
                <c:pt idx="15">
                  <c:v>0.61000000000000065</c:v>
                </c:pt>
                <c:pt idx="16">
                  <c:v>0.61000000000000065</c:v>
                </c:pt>
                <c:pt idx="17">
                  <c:v>0.61000000000000065</c:v>
                </c:pt>
                <c:pt idx="18">
                  <c:v>0.61000000000000065</c:v>
                </c:pt>
                <c:pt idx="19">
                  <c:v>3.048</c:v>
                </c:pt>
                <c:pt idx="20">
                  <c:v>5.4859999999999998</c:v>
                </c:pt>
                <c:pt idx="21">
                  <c:v>1.829</c:v>
                </c:pt>
                <c:pt idx="22">
                  <c:v>1.2189999999999976</c:v>
                </c:pt>
                <c:pt idx="23">
                  <c:v>4.2669999999999995</c:v>
                </c:pt>
                <c:pt idx="24">
                  <c:v>0.61000000000000065</c:v>
                </c:pt>
                <c:pt idx="25">
                  <c:v>1.2189999999999976</c:v>
                </c:pt>
                <c:pt idx="26">
                  <c:v>4.8769999999999998</c:v>
                </c:pt>
                <c:pt idx="27">
                  <c:v>2.4379999999999997</c:v>
                </c:pt>
                <c:pt idx="28">
                  <c:v>1.829</c:v>
                </c:pt>
                <c:pt idx="29">
                  <c:v>1.2189999999999976</c:v>
                </c:pt>
                <c:pt idx="30">
                  <c:v>1.2189999999999976</c:v>
                </c:pt>
                <c:pt idx="31">
                  <c:v>7.3149999999999915</c:v>
                </c:pt>
                <c:pt idx="32">
                  <c:v>3.048</c:v>
                </c:pt>
                <c:pt idx="33">
                  <c:v>2.4379999999999997</c:v>
                </c:pt>
                <c:pt idx="34">
                  <c:v>2.4379999999999997</c:v>
                </c:pt>
                <c:pt idx="35">
                  <c:v>4.8769999999999998</c:v>
                </c:pt>
                <c:pt idx="36">
                  <c:v>2.4379999999999997</c:v>
                </c:pt>
                <c:pt idx="37">
                  <c:v>1.2189999999999976</c:v>
                </c:pt>
                <c:pt idx="38">
                  <c:v>2.4379999999999997</c:v>
                </c:pt>
                <c:pt idx="39">
                  <c:v>0.61000000000000065</c:v>
                </c:pt>
                <c:pt idx="40">
                  <c:v>4.8769999999999998</c:v>
                </c:pt>
                <c:pt idx="41">
                  <c:v>0.61000000000000065</c:v>
                </c:pt>
                <c:pt idx="42">
                  <c:v>1.2189999999999976</c:v>
                </c:pt>
                <c:pt idx="43">
                  <c:v>2.4379999999999997</c:v>
                </c:pt>
                <c:pt idx="44">
                  <c:v>1.2189999999999976</c:v>
                </c:pt>
                <c:pt idx="45">
                  <c:v>10.973000000000004</c:v>
                </c:pt>
                <c:pt idx="46">
                  <c:v>1.2189999999999976</c:v>
                </c:pt>
                <c:pt idx="47">
                  <c:v>3.048</c:v>
                </c:pt>
                <c:pt idx="48">
                  <c:v>10.973000000000004</c:v>
                </c:pt>
                <c:pt idx="49">
                  <c:v>2.4379999999999997</c:v>
                </c:pt>
                <c:pt idx="50">
                  <c:v>4.8769999999999998</c:v>
                </c:pt>
                <c:pt idx="51">
                  <c:v>4.2669999999999995</c:v>
                </c:pt>
                <c:pt idx="52">
                  <c:v>0.61000000000000065</c:v>
                </c:pt>
                <c:pt idx="53">
                  <c:v>2.4379999999999997</c:v>
                </c:pt>
                <c:pt idx="54">
                  <c:v>0.61000000000000065</c:v>
                </c:pt>
                <c:pt idx="55">
                  <c:v>4.2669999999999995</c:v>
                </c:pt>
                <c:pt idx="56">
                  <c:v>2.4379999999999997</c:v>
                </c:pt>
                <c:pt idx="57">
                  <c:v>10.363000000000016</c:v>
                </c:pt>
                <c:pt idx="58">
                  <c:v>4.2669999999999995</c:v>
                </c:pt>
                <c:pt idx="59">
                  <c:v>4.2669999999999995</c:v>
                </c:pt>
                <c:pt idx="60">
                  <c:v>0.61000000000000065</c:v>
                </c:pt>
                <c:pt idx="61">
                  <c:v>0.61000000000000065</c:v>
                </c:pt>
                <c:pt idx="62">
                  <c:v>6.0960000000000001</c:v>
                </c:pt>
                <c:pt idx="63">
                  <c:v>0.61000000000000065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xVal>
          <c:yVal>
            <c:numRef>
              <c:f>Sheet1!$Z$157:$Z$178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0</c:v>
                </c:pt>
              </c:numCache>
            </c:numRef>
          </c:yVal>
        </c:ser>
        <c:axId val="92658688"/>
        <c:axId val="92693632"/>
      </c:scatterChart>
      <c:valAx>
        <c:axId val="92658688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Predicción</a:t>
                </a:r>
                <a:r>
                  <a:rPr lang="es-AR" baseline="0"/>
                  <a:t> Clasificador</a:t>
                </a:r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92693632"/>
        <c:crosses val="autoZero"/>
        <c:crossBetween val="midCat"/>
        <c:majorUnit val="2"/>
      </c:valAx>
      <c:valAx>
        <c:axId val="9269363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Observacion Visual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9265868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E0C1C-1417-4DA2-A906-EC49D5DD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392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usuario</cp:lastModifiedBy>
  <cp:revision>16</cp:revision>
  <dcterms:created xsi:type="dcterms:W3CDTF">2010-05-18T22:24:00Z</dcterms:created>
  <dcterms:modified xsi:type="dcterms:W3CDTF">2010-05-21T00:19:00Z</dcterms:modified>
</cp:coreProperties>
</file>