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1E3A5F"/>
          <w:sz w:val="48"/>
          <w:szCs w:val="48"/>
        </w:rPr>
        <w:t xml:space="preserve">DATA PROCESSING AGREEMENT</w:t>
      </w:r>
    </w:p>
    <w:p>
      <w:pPr>
        <w:spacing w:after="80" w:before="0"/>
      </w:pPr>
      <w:r>
        <w:rPr>
          <w:rFonts w:ascii="Arial" w:cs="Arial" w:eastAsia="Arial" w:hAnsi="Arial"/>
          <w:color w:val="666666"/>
          <w:sz w:val="28"/>
          <w:szCs w:val="28"/>
        </w:rPr>
        <w:t xml:space="preserve">Nomii AI — Powered by Ponten Solutions</w:t>
      </w:r>
    </w:p>
    <w:p>
      <w:pPr>
        <w:spacing w:after="60" w:before="0"/>
      </w:pPr>
      <w:r>
        <w:rPr>
          <w:rFonts w:ascii="Arial" w:cs="Arial" w:eastAsia="Arial" w:hAnsi="Arial"/>
          <w:b/>
          <w:bCs/>
          <w:sz w:val="22"/>
          <w:szCs w:val="22"/>
        </w:rPr>
        <w:t xml:space="preserve">Agreement Date: </w:t>
      </w:r>
      <w:r>
        <w:rPr>
          <w:rFonts w:ascii="Arial" w:cs="Arial" w:eastAsia="Arial" w:hAnsi="Arial"/>
          <w:b/>
          <w:bCs/>
          <w:color w:val="D45B00"/>
          <w:sz w:val="22"/>
          <w:szCs w:val="22"/>
        </w:rPr>
        <w:t xml:space="preserve">[DATE]</w:t>
      </w:r>
      <w:r>
        <w:rPr>
          <w:rFonts w:ascii="Arial" w:cs="Arial" w:eastAsia="Arial" w:hAnsi="Arial"/>
          <w:b/>
          <w:bCs/>
          <w:sz w:val="22"/>
          <w:szCs w:val="22"/>
        </w:rPr>
        <w:t xml:space="preserve">     |     DPA Version: </w:t>
      </w:r>
      <w:r>
        <w:rPr>
          <w:rFonts w:ascii="Arial" w:cs="Arial" w:eastAsia="Arial" w:hAnsi="Arial"/>
          <w:b/>
          <w:bCs/>
          <w:color w:val="D45B00"/>
          <w:sz w:val="22"/>
          <w:szCs w:val="22"/>
        </w:rPr>
        <w:t xml:space="preserve">[VERSION e.g. 1.0]</w:t>
      </w:r>
    </w:p>
    <w:p>
      <w:pPr>
        <w:spacing w:after="48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3CD" w:val="clear"/>
            <w:tcMar>
              <w:top w:type="dxa" w:w="160"/>
              <w:left w:type="dxa" w:w="240"/>
              <w:bottom w:type="dxa" w:w="160"/>
              <w:right w:type="dxa" w:w="240"/>
            </w:tcMar>
          </w:tcPr>
          <w:p>
            <w:r>
              <w:rPr>
                <w:rFonts w:ascii="Arial" w:cs="Arial" w:eastAsia="Arial" w:hAnsi="Arial"/>
                <w:b/>
                <w:bCs/>
                <w:color w:val="7B4A00"/>
                <w:sz w:val="22"/>
                <w:szCs w:val="22"/>
              </w:rPr>
              <w:t xml:space="preserve">ATTORNEY REVIEW NOTICE</w:t>
            </w:r>
          </w:p>
          <w:p>
            <w:pPr>
              <w:spacing w:after="0" w:before="60"/>
            </w:pPr>
            <w:r>
              <w:rPr>
                <w:rFonts w:ascii="Arial" w:cs="Arial" w:eastAsia="Arial" w:hAnsi="Arial"/>
                <w:color w:val="7B4A00"/>
                <w:sz w:val="20"/>
                <w:szCs w:val="20"/>
              </w:rPr>
              <w:t xml:space="preserve">This DPA template was drafted by AI. It is designed to comply with GDPR Article 28 and reflects the actual technical architecture of Nomii AI. It requires attorney review and completion before execution with any Tenant. Pay particular attention to: (1) Annex I data categories — verify they cover all data actually processed; (2) Annex II security measures — verify against current implementation; (3) Annex III sub-processors — must be kept current; (4) international transfer mechanisms in Clause 7.</w:t>
            </w:r>
          </w:p>
        </w:tc>
      </w:tr>
    </w:tbl>
    <w:p>
      <w:pPr>
        <w:spacing w:after="0" w:before="360"/>
      </w:pPr>
    </w:p>
    <w:p>
      <w:pPr>
        <w:pStyle w:val="Heading1"/>
        <w:spacing w:after="120" w:before="360"/>
      </w:pPr>
      <w:r>
        <w:rPr>
          <w:rFonts w:ascii="Arial" w:cs="Arial" w:eastAsia="Arial" w:hAnsi="Arial"/>
          <w:b/>
          <w:bCs/>
          <w:color w:val="1E3A5F"/>
          <w:sz w:val="28"/>
          <w:szCs w:val="28"/>
        </w:rPr>
        <w:t xml:space="preserve">PARTIES</w:t>
      </w:r>
    </w:p>
    <w:p>
      <w:pPr>
        <w:spacing w:after="100" w:before="80"/>
      </w:pPr>
      <w:r>
        <w:rPr>
          <w:rFonts w:ascii="Arial" w:cs="Arial" w:eastAsia="Arial" w:hAnsi="Arial"/>
          <w:color w:val="000000"/>
          <w:sz w:val="22"/>
          <w:szCs w:val="22"/>
        </w:rPr>
        <w:t xml:space="preserve">This Data Processing Agreement ("DPA" or "Agreement") is entered into between:</w:t>
      </w:r>
    </w:p>
    <w:p>
      <w:pPr>
        <w:spacing w:after="80" w:before="160"/>
      </w:pPr>
      <w:r>
        <w:rPr>
          <w:rFonts w:ascii="Arial" w:cs="Arial" w:eastAsia="Arial" w:hAnsi="Arial"/>
          <w:b/>
          <w:bCs/>
          <w:color w:val="1E3A5F"/>
          <w:sz w:val="22"/>
          <w:szCs w:val="22"/>
        </w:rPr>
        <w:t xml:space="preserve">DATA CONTROLLER ("Controller" or "Tenant"): </w:t>
      </w:r>
    </w:p>
    <w:p>
      <w:pPr>
        <w:spacing w:after="100" w:before="80"/>
      </w:pPr>
      <w:r>
        <w:rPr>
          <w:rFonts w:ascii="Arial" w:cs="Arial" w:eastAsia="Arial" w:hAnsi="Arial"/>
          <w:b/>
          <w:bCs/>
          <w:sz w:val="22"/>
          <w:szCs w:val="22"/>
        </w:rPr>
        <w:t xml:space="preserve">Company Name: </w:t>
      </w:r>
      <w:r>
        <w:rPr>
          <w:rFonts w:ascii="Arial" w:cs="Arial" w:eastAsia="Arial" w:hAnsi="Arial"/>
          <w:b/>
          <w:bCs/>
          <w:color w:val="D45B00"/>
          <w:sz w:val="22"/>
          <w:szCs w:val="22"/>
        </w:rPr>
        <w:t xml:space="preserve">[TENANT COMPANY NAME]</w:t>
      </w:r>
    </w:p>
    <w:p>
      <w:pPr>
        <w:spacing w:after="100" w:before="80"/>
      </w:pPr>
      <w:r>
        <w:rPr>
          <w:rFonts w:ascii="Arial" w:cs="Arial" w:eastAsia="Arial" w:hAnsi="Arial"/>
          <w:b/>
          <w:bCs/>
          <w:sz w:val="22"/>
          <w:szCs w:val="22"/>
        </w:rPr>
        <w:t xml:space="preserve">Registered Address: </w:t>
      </w:r>
      <w:r>
        <w:rPr>
          <w:rFonts w:ascii="Arial" w:cs="Arial" w:eastAsia="Arial" w:hAnsi="Arial"/>
          <w:b/>
          <w:bCs/>
          <w:color w:val="D45B00"/>
          <w:sz w:val="22"/>
          <w:szCs w:val="22"/>
        </w:rPr>
        <w:t xml:space="preserve">[TENANT ADDRESS]</w:t>
      </w:r>
    </w:p>
    <w:p>
      <w:pPr>
        <w:spacing w:after="100" w:before="80"/>
      </w:pPr>
      <w:r>
        <w:rPr>
          <w:rFonts w:ascii="Arial" w:cs="Arial" w:eastAsia="Arial" w:hAnsi="Arial"/>
          <w:b/>
          <w:bCs/>
          <w:sz w:val="22"/>
          <w:szCs w:val="22"/>
        </w:rPr>
        <w:t xml:space="preserve">Registration Number: </w:t>
      </w:r>
      <w:r>
        <w:rPr>
          <w:rFonts w:ascii="Arial" w:cs="Arial" w:eastAsia="Arial" w:hAnsi="Arial"/>
          <w:b/>
          <w:bCs/>
          <w:color w:val="D45B00"/>
          <w:sz w:val="22"/>
          <w:szCs w:val="22"/>
        </w:rPr>
        <w:t xml:space="preserve">[TENANT REGISTRATION NUMBER]</w:t>
      </w:r>
    </w:p>
    <w:p>
      <w:pPr>
        <w:spacing w:after="100" w:before="80"/>
      </w:pPr>
      <w:r>
        <w:rPr>
          <w:rFonts w:ascii="Arial" w:cs="Arial" w:eastAsia="Arial" w:hAnsi="Arial"/>
          <w:b/>
          <w:bCs/>
          <w:sz w:val="22"/>
          <w:szCs w:val="22"/>
        </w:rPr>
        <w:t xml:space="preserve">Contact: </w:t>
      </w:r>
      <w:r>
        <w:rPr>
          <w:rFonts w:ascii="Arial" w:cs="Arial" w:eastAsia="Arial" w:hAnsi="Arial"/>
          <w:b/>
          <w:bCs/>
          <w:color w:val="D45B00"/>
          <w:sz w:val="22"/>
          <w:szCs w:val="22"/>
        </w:rPr>
        <w:t xml:space="preserve">[TENANT CONTACT NAME AND EMAIL]</w:t>
      </w:r>
    </w:p>
    <w:p>
      <w:pPr>
        <w:spacing w:after="80" w:before="160"/>
      </w:pPr>
      <w:r>
        <w:rPr>
          <w:rFonts w:ascii="Arial" w:cs="Arial" w:eastAsia="Arial" w:hAnsi="Arial"/>
          <w:b/>
          <w:bCs/>
          <w:color w:val="1E3A5F"/>
          <w:sz w:val="22"/>
          <w:szCs w:val="22"/>
        </w:rPr>
        <w:t xml:space="preserve">DATA PROCESSOR ("Processor" or "Nomii AI"): </w:t>
      </w:r>
    </w:p>
    <w:p>
      <w:pPr>
        <w:spacing w:after="100" w:before="80"/>
      </w:pPr>
      <w:r>
        <w:rPr>
          <w:rFonts w:ascii="Arial" w:cs="Arial" w:eastAsia="Arial" w:hAnsi="Arial"/>
          <w:sz w:val="22"/>
          <w:szCs w:val="22"/>
        </w:rPr>
        <w:t xml:space="preserve">Ponten Solutions (operating as Nomii AI)</w:t>
      </w:r>
    </w:p>
    <w:p>
      <w:pPr>
        <w:spacing w:after="100" w:before="80"/>
      </w:pPr>
      <w:r>
        <w:rPr>
          <w:rFonts w:ascii="Arial" w:cs="Arial" w:eastAsia="Arial" w:hAnsi="Arial"/>
          <w:b/>
          <w:bCs/>
          <w:sz w:val="22"/>
          <w:szCs w:val="22"/>
        </w:rPr>
        <w:t xml:space="preserve">Registered Address: </w:t>
      </w:r>
      <w:r>
        <w:rPr>
          <w:rFonts w:ascii="Arial" w:cs="Arial" w:eastAsia="Arial" w:hAnsi="Arial"/>
          <w:b/>
          <w:bCs/>
          <w:color w:val="D45B00"/>
          <w:sz w:val="22"/>
          <w:szCs w:val="22"/>
        </w:rPr>
        <w:t xml:space="preserve">[PONTEN SOLUTIONS REGISTERED ADDRESS]</w:t>
      </w:r>
    </w:p>
    <w:p>
      <w:pPr>
        <w:spacing w:after="100" w:before="80"/>
      </w:pPr>
      <w:r>
        <w:rPr>
          <w:rFonts w:ascii="Arial" w:cs="Arial" w:eastAsia="Arial" w:hAnsi="Arial"/>
          <w:b/>
          <w:bCs/>
          <w:sz w:val="22"/>
          <w:szCs w:val="22"/>
        </w:rPr>
        <w:t xml:space="preserve">Privacy Contact: </w:t>
      </w:r>
      <w:r>
        <w:rPr>
          <w:rFonts w:ascii="Arial" w:cs="Arial" w:eastAsia="Arial" w:hAnsi="Arial"/>
          <w:b/>
          <w:bCs/>
          <w:color w:val="D45B00"/>
          <w:sz w:val="22"/>
          <w:szCs w:val="22"/>
        </w:rPr>
        <w:t xml:space="preserve">[PRIVACY EMAIL e.g. privacy@pontensolutions.com]</w:t>
      </w:r>
    </w:p>
    <w:p>
      <w:pPr>
        <w:spacing w:after="100" w:before="80"/>
      </w:pPr>
      <w:r>
        <w:rPr>
          <w:rFonts w:ascii="Arial" w:cs="Arial" w:eastAsia="Arial" w:hAnsi="Arial"/>
          <w:color w:val="000000"/>
          <w:sz w:val="22"/>
          <w:szCs w:val="22"/>
        </w:rPr>
        <w:t xml:space="preserve">The Controller and Processor are hereinafter referred to individually as a "Party" and collectively as the "Parties".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 Background and Purpose</w:t>
      </w:r>
    </w:p>
    <w:p>
      <w:pPr>
        <w:spacing w:after="100" w:before="80"/>
      </w:pPr>
      <w:r>
        <w:rPr>
          <w:rFonts w:ascii="Arial" w:cs="Arial" w:eastAsia="Arial" w:hAnsi="Arial"/>
          <w:color w:val="000000"/>
          <w:sz w:val="22"/>
          <w:szCs w:val="22"/>
        </w:rPr>
        <w:t xml:space="preserve">The Controller uses the Nomii AI platform (the "Service") to deploy an AI agent for its customers under a Subscription Agreement or Order Form (the "Principal Agreement"). In providing the Service, the Processor will process personal data on behalf of the Controller.</w:t>
      </w:r>
    </w:p>
    <w:p>
      <w:pPr>
        <w:spacing w:after="100" w:before="80"/>
      </w:pPr>
      <w:r>
        <w:rPr>
          <w:rFonts w:ascii="Arial" w:cs="Arial" w:eastAsia="Arial" w:hAnsi="Arial"/>
          <w:color w:val="000000"/>
          <w:sz w:val="22"/>
          <w:szCs w:val="22"/>
        </w:rPr>
        <w:t xml:space="preserve">This DPA governs all personal data processing carried out by the Processor on behalf of the Controller in connection with the Service. This DPA forms part of and is incorporated into the Principal Agreement. In the event of conflict between this DPA and the Principal Agreement regarding personal data, this DPA shall prevail.</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2. Definitions</w:t>
      </w:r>
    </w:p>
    <w:p>
      <w:pPr>
        <w:spacing w:after="100" w:before="80"/>
      </w:pPr>
      <w:r>
        <w:rPr>
          <w:rFonts w:ascii="Arial" w:cs="Arial" w:eastAsia="Arial" w:hAnsi="Arial"/>
          <w:color w:val="000000"/>
          <w:sz w:val="22"/>
          <w:szCs w:val="22"/>
        </w:rPr>
        <w:t xml:space="preserve">In this DPA, the following terms have the meanings set out below. Terms not defined here have the meanings given in the GDPR.</w:t>
      </w:r>
    </w:p>
    <w:p>
      <w:pPr>
        <w:spacing w:after="100" w:before="80"/>
      </w:pPr>
      <w:r>
        <w:rPr>
          <w:rFonts w:ascii="Arial" w:cs="Arial" w:eastAsia="Arial" w:hAnsi="Arial"/>
          <w:color w:val="000000"/>
          <w:sz w:val="22"/>
          <w:szCs w:val="22"/>
        </w:rPr>
        <w:t xml:space="preserve">"GDPR" means Regulation (EU) 2016/679 of the European Parliament and of the Council (General Data Protection Regulation), as amended or supplemented.</w:t>
      </w:r>
    </w:p>
    <w:p>
      <w:pPr>
        <w:spacing w:after="100" w:before="80"/>
      </w:pPr>
      <w:r>
        <w:rPr>
          <w:rFonts w:ascii="Arial" w:cs="Arial" w:eastAsia="Arial" w:hAnsi="Arial"/>
          <w:color w:val="000000"/>
          <w:sz w:val="22"/>
          <w:szCs w:val="22"/>
        </w:rPr>
        <w:t xml:space="preserve">"Personal Data" means any information relating to an identified or identifiable natural person processed by the Processor on behalf of the Controller under this DPA.</w:t>
      </w:r>
    </w:p>
    <w:p>
      <w:pPr>
        <w:spacing w:after="100" w:before="80"/>
      </w:pPr>
      <w:r>
        <w:rPr>
          <w:rFonts w:ascii="Arial" w:cs="Arial" w:eastAsia="Arial" w:hAnsi="Arial"/>
          <w:color w:val="000000"/>
          <w:sz w:val="22"/>
          <w:szCs w:val="22"/>
        </w:rPr>
        <w:t xml:space="preserve">"Data Subject" means the natural person to whom Personal Data relates.</w:t>
      </w:r>
    </w:p>
    <w:p>
      <w:pPr>
        <w:spacing w:after="100" w:before="80"/>
      </w:pPr>
      <w:r>
        <w:rPr>
          <w:rFonts w:ascii="Arial" w:cs="Arial" w:eastAsia="Arial" w:hAnsi="Arial"/>
          <w:color w:val="000000"/>
          <w:sz w:val="22"/>
          <w:szCs w:val="22"/>
        </w:rPr>
        <w:t xml:space="preserve">"Processing" has the meaning given in the GDPR and includes any operation performed on Personal Data.</w:t>
      </w:r>
    </w:p>
    <w:p>
      <w:pPr>
        <w:spacing w:after="100" w:before="80"/>
      </w:pPr>
      <w:r>
        <w:rPr>
          <w:rFonts w:ascii="Arial" w:cs="Arial" w:eastAsia="Arial" w:hAnsi="Arial"/>
          <w:color w:val="000000"/>
          <w:sz w:val="22"/>
          <w:szCs w:val="22"/>
        </w:rPr>
        <w:t xml:space="preserve">"Sub-Processor" means any third party appointed by the Processor to process Personal Data on behalf of the Controller.</w:t>
      </w:r>
    </w:p>
    <w:p>
      <w:pPr>
        <w:spacing w:after="100" w:before="80"/>
      </w:pPr>
      <w:r>
        <w:rPr>
          <w:rFonts w:ascii="Arial" w:cs="Arial" w:eastAsia="Arial" w:hAnsi="Arial"/>
          <w:color w:val="000000"/>
          <w:sz w:val="22"/>
          <w:szCs w:val="22"/>
        </w:rPr>
        <w:t xml:space="preserve">"Data Breach" means a breach of security leading to accidental or unlawful destruction, loss, alteration, unauthorised disclosure of, or access to, Personal Data.</w:t>
      </w:r>
    </w:p>
    <w:p>
      <w:pPr>
        <w:spacing w:after="100" w:before="80"/>
      </w:pPr>
      <w:r>
        <w:rPr>
          <w:rFonts w:ascii="Arial" w:cs="Arial" w:eastAsia="Arial" w:hAnsi="Arial"/>
          <w:color w:val="000000"/>
          <w:sz w:val="22"/>
          <w:szCs w:val="22"/>
        </w:rPr>
        <w:t xml:space="preserve">"Standard Contractual Clauses" or "SCCs" means the standard contractual clauses for the transfer of personal data to third countries approved by the European Commission.</w:t>
      </w:r>
    </w:p>
    <w:p>
      <w:pPr>
        <w:spacing w:after="100" w:before="80"/>
      </w:pPr>
      <w:r>
        <w:rPr>
          <w:rFonts w:ascii="Arial" w:cs="Arial" w:eastAsia="Arial" w:hAnsi="Arial"/>
          <w:color w:val="000000"/>
          <w:sz w:val="22"/>
          <w:szCs w:val="22"/>
        </w:rPr>
        <w:t xml:space="preserve">"Supervisory Authority" means the competent data protection authority in the relevant jurisdiction.</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3. Roles and Processing Instructions</w:t>
      </w:r>
    </w:p>
    <w:p>
      <w:pPr>
        <w:pStyle w:val="Heading2"/>
        <w:spacing w:after="80" w:before="240"/>
      </w:pPr>
      <w:r>
        <w:rPr>
          <w:rFonts w:ascii="Arial" w:cs="Arial" w:eastAsia="Arial" w:hAnsi="Arial"/>
          <w:b/>
          <w:bCs/>
          <w:color w:val="1E3A5F"/>
          <w:sz w:val="24"/>
          <w:szCs w:val="24"/>
        </w:rPr>
        <w:t xml:space="preserve">3.1 Controller and Processor</w:t>
      </w:r>
    </w:p>
    <w:p>
      <w:pPr>
        <w:spacing w:after="100" w:before="80"/>
      </w:pPr>
      <w:r>
        <w:rPr>
          <w:rFonts w:ascii="Arial" w:cs="Arial" w:eastAsia="Arial" w:hAnsi="Arial"/>
          <w:color w:val="000000"/>
          <w:sz w:val="22"/>
          <w:szCs w:val="22"/>
        </w:rPr>
        <w:t xml:space="preserve">The Parties acknowledge that for the purposes of processing End Customer data through the Service, the Controller is the data controller and the Processor is the data processor under the GDPR.</w:t>
      </w:r>
    </w:p>
    <w:p>
      <w:pPr>
        <w:pStyle w:val="Heading2"/>
        <w:spacing w:after="80" w:before="240"/>
      </w:pPr>
      <w:r>
        <w:rPr>
          <w:rFonts w:ascii="Arial" w:cs="Arial" w:eastAsia="Arial" w:hAnsi="Arial"/>
          <w:b/>
          <w:bCs/>
          <w:color w:val="1E3A5F"/>
          <w:sz w:val="24"/>
          <w:szCs w:val="24"/>
        </w:rPr>
        <w:t xml:space="preserve">3.2 Processing on Instructions</w:t>
      </w:r>
    </w:p>
    <w:p>
      <w:pPr>
        <w:spacing w:after="100" w:before="80"/>
      </w:pPr>
      <w:r>
        <w:rPr>
          <w:rFonts w:ascii="Arial" w:cs="Arial" w:eastAsia="Arial" w:hAnsi="Arial"/>
          <w:color w:val="000000"/>
          <w:sz w:val="22"/>
          <w:szCs w:val="22"/>
        </w:rPr>
        <w:t xml:space="preserve">The Processor shall process Personal Data only on documented instructions from the Controller, including for transfers of Personal Data to third countries, unless required to do so by applicable law. In such a case, the Processor shall notify the Controller of that legal requirement before processing, unless prohibited by law on grounds of public interest.</w:t>
      </w:r>
    </w:p>
    <w:p>
      <w:pPr>
        <w:spacing w:after="100" w:before="80"/>
      </w:pPr>
      <w:r>
        <w:rPr>
          <w:rFonts w:ascii="Arial" w:cs="Arial" w:eastAsia="Arial" w:hAnsi="Arial"/>
          <w:color w:val="000000"/>
          <w:sz w:val="22"/>
          <w:szCs w:val="22"/>
        </w:rPr>
        <w:t xml:space="preserve">The Controller's instructions are as set out in Annex I to this DPA and as otherwise documented in writing. The configuration settings set by the Controller in the Nomii AI portal constitute documented instructions.</w:t>
      </w:r>
    </w:p>
    <w:p>
      <w:pPr>
        <w:pStyle w:val="Heading2"/>
        <w:spacing w:after="80" w:before="240"/>
      </w:pPr>
      <w:r>
        <w:rPr>
          <w:rFonts w:ascii="Arial" w:cs="Arial" w:eastAsia="Arial" w:hAnsi="Arial"/>
          <w:b/>
          <w:bCs/>
          <w:color w:val="1E3A5F"/>
          <w:sz w:val="24"/>
          <w:szCs w:val="24"/>
        </w:rPr>
        <w:t xml:space="preserve">3.3 Controller Warranties</w:t>
      </w:r>
    </w:p>
    <w:p>
      <w:pPr>
        <w:spacing w:after="100" w:before="80"/>
      </w:pPr>
      <w:r>
        <w:rPr>
          <w:rFonts w:ascii="Arial" w:cs="Arial" w:eastAsia="Arial" w:hAnsi="Arial"/>
          <w:color w:val="000000"/>
          <w:sz w:val="22"/>
          <w:szCs w:val="22"/>
        </w:rPr>
        <w:t xml:space="preserve">The Controller warrants that:</w:t>
      </w:r>
    </w:p>
    <w:p>
      <w:pPr>
        <w:pStyle w:val="ListParagraph"/>
        <w:numPr>
          <w:ilvl w:val="0"/>
          <w:numId w:val="2"/>
        </w:numPr>
        <w:spacing w:after="40" w:before="40"/>
      </w:pPr>
      <w:r>
        <w:rPr>
          <w:rFonts w:ascii="Arial" w:cs="Arial" w:eastAsia="Arial" w:hAnsi="Arial"/>
          <w:color w:val="000000"/>
          <w:sz w:val="22"/>
          <w:szCs w:val="22"/>
        </w:rPr>
        <w:t xml:space="preserve">It has a valid lawful basis under the GDPR for collecting and directing the processing of End Customer Personal Data</w:t>
      </w:r>
    </w:p>
    <w:p>
      <w:pPr>
        <w:pStyle w:val="ListParagraph"/>
        <w:numPr>
          <w:ilvl w:val="0"/>
          <w:numId w:val="2"/>
        </w:numPr>
        <w:spacing w:after="40" w:before="40"/>
      </w:pPr>
      <w:r>
        <w:rPr>
          <w:rFonts w:ascii="Arial" w:cs="Arial" w:eastAsia="Arial" w:hAnsi="Arial"/>
          <w:color w:val="000000"/>
          <w:sz w:val="22"/>
          <w:szCs w:val="22"/>
        </w:rPr>
        <w:t xml:space="preserve">It has provided End Customers with appropriate privacy notices</w:t>
      </w:r>
    </w:p>
    <w:p>
      <w:pPr>
        <w:pStyle w:val="ListParagraph"/>
        <w:numPr>
          <w:ilvl w:val="0"/>
          <w:numId w:val="2"/>
        </w:numPr>
        <w:spacing w:after="40" w:before="40"/>
      </w:pPr>
      <w:r>
        <w:rPr>
          <w:rFonts w:ascii="Arial" w:cs="Arial" w:eastAsia="Arial" w:hAnsi="Arial"/>
          <w:color w:val="000000"/>
          <w:sz w:val="22"/>
          <w:szCs w:val="22"/>
        </w:rPr>
        <w:t xml:space="preserve">It has obtained any required consents</w:t>
      </w:r>
    </w:p>
    <w:p>
      <w:pPr>
        <w:pStyle w:val="ListParagraph"/>
        <w:numPr>
          <w:ilvl w:val="0"/>
          <w:numId w:val="2"/>
        </w:numPr>
        <w:spacing w:after="40" w:before="40"/>
      </w:pPr>
      <w:r>
        <w:rPr>
          <w:rFonts w:ascii="Arial" w:cs="Arial" w:eastAsia="Arial" w:hAnsi="Arial"/>
          <w:color w:val="000000"/>
          <w:sz w:val="22"/>
          <w:szCs w:val="22"/>
        </w:rPr>
        <w:t xml:space="preserve">Its instructions to the Processor will not cause the Processor to violate applicable law</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4. Confidentiality</w:t>
      </w:r>
    </w:p>
    <w:p>
      <w:pPr>
        <w:spacing w:after="100" w:before="80"/>
      </w:pPr>
      <w:r>
        <w:rPr>
          <w:rFonts w:ascii="Arial" w:cs="Arial" w:eastAsia="Arial" w:hAnsi="Arial"/>
          <w:color w:val="000000"/>
          <w:sz w:val="22"/>
          <w:szCs w:val="22"/>
        </w:rPr>
        <w:t xml:space="preserve">The Processor shall ensure that persons authorised to process Personal Data have committed themselves to confidentiality or are under an appropriate statutory obligation of confidentiality. Access to Personal Data is restricted to personnel who need access to perform the contracted services.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5. Security of Processing</w:t>
      </w:r>
    </w:p>
    <w:p>
      <w:pPr>
        <w:spacing w:after="100" w:before="80"/>
      </w:pPr>
      <w:r>
        <w:rPr>
          <w:rFonts w:ascii="Arial" w:cs="Arial" w:eastAsia="Arial" w:hAnsi="Arial"/>
          <w:color w:val="000000"/>
          <w:sz w:val="22"/>
          <w:szCs w:val="22"/>
        </w:rPr>
        <w:t xml:space="preserve">Taking into account the state of the art, the costs of implementation, and the nature, scope, context and purposes of processing, as well as the risks to individuals, the Processor shall implement and maintain appropriate technical and organisational security measures as set out in Annex II.</w:t>
      </w:r>
    </w:p>
    <w:p>
      <w:pPr>
        <w:spacing w:after="100" w:before="80"/>
      </w:pPr>
      <w:r>
        <w:rPr>
          <w:rFonts w:ascii="Arial" w:cs="Arial" w:eastAsia="Arial" w:hAnsi="Arial"/>
          <w:color w:val="000000"/>
          <w:sz w:val="22"/>
          <w:szCs w:val="22"/>
        </w:rPr>
        <w:t xml:space="preserve">These measures include, as appropriate:</w:t>
      </w:r>
    </w:p>
    <w:p>
      <w:pPr>
        <w:pStyle w:val="ListParagraph"/>
        <w:numPr>
          <w:ilvl w:val="0"/>
          <w:numId w:val="2"/>
        </w:numPr>
        <w:spacing w:after="40" w:before="40"/>
      </w:pPr>
      <w:r>
        <w:rPr>
          <w:rFonts w:ascii="Arial" w:cs="Arial" w:eastAsia="Arial" w:hAnsi="Arial"/>
          <w:color w:val="000000"/>
          <w:sz w:val="22"/>
          <w:szCs w:val="22"/>
        </w:rPr>
        <w:t xml:space="preserve">Pseudonymisation and encryption of Personal Data</w:t>
      </w:r>
    </w:p>
    <w:p>
      <w:pPr>
        <w:pStyle w:val="ListParagraph"/>
        <w:numPr>
          <w:ilvl w:val="0"/>
          <w:numId w:val="2"/>
        </w:numPr>
        <w:spacing w:after="40" w:before="40"/>
      </w:pPr>
      <w:r>
        <w:rPr>
          <w:rFonts w:ascii="Arial" w:cs="Arial" w:eastAsia="Arial" w:hAnsi="Arial"/>
          <w:color w:val="000000"/>
          <w:sz w:val="22"/>
          <w:szCs w:val="22"/>
        </w:rPr>
        <w:t xml:space="preserve">Ensuring ongoing confidentiality, integrity, availability, and resilience of processing systems</w:t>
      </w:r>
    </w:p>
    <w:p>
      <w:pPr>
        <w:pStyle w:val="ListParagraph"/>
        <w:numPr>
          <w:ilvl w:val="0"/>
          <w:numId w:val="2"/>
        </w:numPr>
        <w:spacing w:after="40" w:before="40"/>
      </w:pPr>
      <w:r>
        <w:rPr>
          <w:rFonts w:ascii="Arial" w:cs="Arial" w:eastAsia="Arial" w:hAnsi="Arial"/>
          <w:color w:val="000000"/>
          <w:sz w:val="22"/>
          <w:szCs w:val="22"/>
        </w:rPr>
        <w:t xml:space="preserve">Ability to restore availability and access to Personal Data promptly in the event of a physical or technical incident</w:t>
      </w:r>
    </w:p>
    <w:p>
      <w:pPr>
        <w:pStyle w:val="ListParagraph"/>
        <w:numPr>
          <w:ilvl w:val="0"/>
          <w:numId w:val="2"/>
        </w:numPr>
        <w:spacing w:after="40" w:before="40"/>
      </w:pPr>
      <w:r>
        <w:rPr>
          <w:rFonts w:ascii="Arial" w:cs="Arial" w:eastAsia="Arial" w:hAnsi="Arial"/>
          <w:color w:val="000000"/>
          <w:sz w:val="22"/>
          <w:szCs w:val="22"/>
        </w:rPr>
        <w:t xml:space="preserve">Regular testing and evaluation of the effectiveness of technical and organisational measures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6. Sub-Processors</w:t>
      </w:r>
    </w:p>
    <w:p>
      <w:pPr>
        <w:pStyle w:val="Heading2"/>
        <w:spacing w:after="80" w:before="240"/>
      </w:pPr>
      <w:r>
        <w:rPr>
          <w:rFonts w:ascii="Arial" w:cs="Arial" w:eastAsia="Arial" w:hAnsi="Arial"/>
          <w:b/>
          <w:bCs/>
          <w:color w:val="1E3A5F"/>
          <w:sz w:val="24"/>
          <w:szCs w:val="24"/>
        </w:rPr>
        <w:t xml:space="preserve">6.1 Authorisation</w:t>
      </w:r>
    </w:p>
    <w:p>
      <w:pPr>
        <w:spacing w:after="100" w:before="80"/>
      </w:pPr>
      <w:r>
        <w:rPr>
          <w:rFonts w:ascii="Arial" w:cs="Arial" w:eastAsia="Arial" w:hAnsi="Arial"/>
          <w:color w:val="000000"/>
          <w:sz w:val="22"/>
          <w:szCs w:val="22"/>
        </w:rPr>
        <w:t xml:space="preserve">The Controller provides general written authorisation for the Processor to engage Sub-Processors. The current list of Sub-Processors authorised at the date of this DPA is set out in Annex III.</w:t>
      </w:r>
    </w:p>
    <w:p>
      <w:pPr>
        <w:pStyle w:val="Heading2"/>
        <w:spacing w:after="80" w:before="240"/>
      </w:pPr>
      <w:r>
        <w:rPr>
          <w:rFonts w:ascii="Arial" w:cs="Arial" w:eastAsia="Arial" w:hAnsi="Arial"/>
          <w:b/>
          <w:bCs/>
          <w:color w:val="1E3A5F"/>
          <w:sz w:val="24"/>
          <w:szCs w:val="24"/>
        </w:rPr>
        <w:t xml:space="preserve">6.2 Notice of Changes</w:t>
      </w:r>
    </w:p>
    <w:p>
      <w:pPr>
        <w:spacing w:after="100" w:before="80"/>
      </w:pPr>
      <w:r>
        <w:rPr>
          <w:rFonts w:ascii="Arial" w:cs="Arial" w:eastAsia="Arial" w:hAnsi="Arial"/>
          <w:color w:val="000000"/>
          <w:sz w:val="22"/>
          <w:szCs w:val="22"/>
        </w:rPr>
        <w:t xml:space="preserve">The Processor shall notify the Controller of any intended changes to Sub-Processors (additions or replacements) by updating Annex III and providing at least 14 days' prior notice. If the Controller objects to a new Sub-Processor on reasonable grounds related to data protection, the Parties shall work together in good faith to resolve the objection.</w:t>
      </w:r>
    </w:p>
    <w:p>
      <w:pPr>
        <w:pStyle w:val="Heading2"/>
        <w:spacing w:after="80" w:before="240"/>
      </w:pPr>
      <w:r>
        <w:rPr>
          <w:rFonts w:ascii="Arial" w:cs="Arial" w:eastAsia="Arial" w:hAnsi="Arial"/>
          <w:b/>
          <w:bCs/>
          <w:color w:val="1E3A5F"/>
          <w:sz w:val="24"/>
          <w:szCs w:val="24"/>
        </w:rPr>
        <w:t xml:space="preserve">6.3 Obligations</w:t>
      </w:r>
    </w:p>
    <w:p>
      <w:pPr>
        <w:spacing w:after="100" w:before="80"/>
      </w:pPr>
      <w:r>
        <w:rPr>
          <w:rFonts w:ascii="Arial" w:cs="Arial" w:eastAsia="Arial" w:hAnsi="Arial"/>
          <w:color w:val="000000"/>
          <w:sz w:val="22"/>
          <w:szCs w:val="22"/>
        </w:rPr>
        <w:t xml:space="preserve">The Processor shall impose the same data protection obligations on Sub-Processors as set out in this DPA, in particular providing sufficient guarantees to implement appropriate technical and organisational measures. The Processor remains fully liable to the Controller for the acts and omissions of its Sub-Processors.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7. International Transfers of Personal Data</w:t>
      </w:r>
    </w:p>
    <w:p>
      <w:pPr>
        <w:spacing w:after="100" w:before="80"/>
      </w:pPr>
      <w:r>
        <w:rPr>
          <w:rFonts w:ascii="Arial" w:cs="Arial" w:eastAsia="Arial" w:hAnsi="Arial"/>
          <w:color w:val="000000"/>
          <w:sz w:val="22"/>
          <w:szCs w:val="22"/>
        </w:rPr>
        <w:t xml:space="preserve">Where the Processor transfers Personal Data to a country outside the European Economic Area (EEA) or the United Kingdom that is not subject to an adequacy decision:</w:t>
      </w:r>
    </w:p>
    <w:p>
      <w:pPr>
        <w:pStyle w:val="ListParagraph"/>
        <w:numPr>
          <w:ilvl w:val="0"/>
          <w:numId w:val="2"/>
        </w:numPr>
        <w:spacing w:after="40" w:before="40"/>
      </w:pPr>
      <w:r>
        <w:rPr>
          <w:rFonts w:ascii="Arial" w:cs="Arial" w:eastAsia="Arial" w:hAnsi="Arial"/>
          <w:color w:val="000000"/>
          <w:sz w:val="22"/>
          <w:szCs w:val="22"/>
        </w:rPr>
        <w:t xml:space="preserve">Transfers to Anthropic, Inc. (United States) for AI model processing are covered by Standard Contractual Clauses (SCCs) in the form approved by the European Commission (Commission Decision 2021/914). The Module 3 (Processor-to-Processor) SCCs apply.</w:t>
      </w:r>
    </w:p>
    <w:p>
      <w:pPr>
        <w:pStyle w:val="ListParagraph"/>
        <w:numPr>
          <w:ilvl w:val="0"/>
          <w:numId w:val="2"/>
        </w:numPr>
        <w:spacing w:after="40" w:before="40"/>
      </w:pPr>
      <w:r>
        <w:rPr>
          <w:rFonts w:ascii="Arial" w:cs="Arial" w:eastAsia="Arial" w:hAnsi="Arial"/>
          <w:color w:val="000000"/>
          <w:sz w:val="22"/>
          <w:szCs w:val="22"/>
        </w:rPr>
        <w:t xml:space="preserve">Transfers to other Sub-Processors are covered by the mechanisms set out in Annex III.</w:t>
      </w:r>
    </w:p>
    <w:p>
      <w:pPr>
        <w:spacing w:after="80" w:before="80"/>
        <w:ind w:left="360"/>
      </w:pPr>
      <w:r>
        <w:rPr>
          <w:rFonts w:ascii="Arial" w:cs="Arial" w:eastAsia="Arial" w:hAnsi="Arial"/>
          <w:i/>
          <w:iCs/>
          <w:color w:val="666666"/>
          <w:sz w:val="20"/>
          <w:szCs w:val="20"/>
        </w:rPr>
        <w:t xml:space="preserve">Attorney note: Verify that SCCs with Anthropic are actually in place. Review Anthropic's API data processing terms at anthropic.com. Confirm Module 2 (Controller-to-Processor) or Module 3 (Processor-to-Processor) applies based on your structure. Complete a Transfer Impact Assessment (TIA) for US transfers.</w:t>
      </w:r>
    </w:p>
    <w:p>
      <w:pPr>
        <w:spacing w:after="100" w:before="80"/>
      </w:pPr>
      <w:r>
        <w:rPr>
          <w:rFonts w:ascii="Arial" w:cs="Arial" w:eastAsia="Arial" w:hAnsi="Arial"/>
          <w:color w:val="000000"/>
          <w:sz w:val="22"/>
          <w:szCs w:val="22"/>
        </w:rPr>
        <w:t xml:space="preserve">The Processor shall ensure that Sub-Processors in third countries have implemented appropriate safeguards for such transfers.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8. Assistance with Data Subject Rights</w:t>
      </w:r>
    </w:p>
    <w:p>
      <w:pPr>
        <w:spacing w:after="100" w:before="80"/>
      </w:pPr>
      <w:r>
        <w:rPr>
          <w:rFonts w:ascii="Arial" w:cs="Arial" w:eastAsia="Arial" w:hAnsi="Arial"/>
          <w:color w:val="000000"/>
          <w:sz w:val="22"/>
          <w:szCs w:val="22"/>
        </w:rPr>
        <w:t xml:space="preserve">The Processor shall assist the Controller in fulfilling its obligations to respond to Data Subject requests under the GDPR, including rights of access, rectification, erasure, restriction, portability, and objection.</w:t>
      </w:r>
    </w:p>
    <w:p>
      <w:pPr>
        <w:spacing w:after="100" w:before="80"/>
      </w:pPr>
      <w:r>
        <w:rPr>
          <w:rFonts w:ascii="Arial" w:cs="Arial" w:eastAsia="Arial" w:hAnsi="Arial"/>
          <w:color w:val="000000"/>
          <w:sz w:val="22"/>
          <w:szCs w:val="22"/>
        </w:rPr>
        <w:t xml:space="preserve">The Processor provides the following technical capabilities to assist with Data Subject rights:</w:t>
      </w:r>
    </w:p>
    <w:p>
      <w:pPr>
        <w:pStyle w:val="ListParagraph"/>
        <w:numPr>
          <w:ilvl w:val="0"/>
          <w:numId w:val="2"/>
        </w:numPr>
        <w:spacing w:after="40" w:before="40"/>
      </w:pPr>
      <w:r>
        <w:rPr>
          <w:rFonts w:ascii="Arial" w:cs="Arial" w:eastAsia="Arial" w:hAnsi="Arial"/>
          <w:color w:val="000000"/>
          <w:sz w:val="22"/>
          <w:szCs w:val="22"/>
        </w:rPr>
        <w:t xml:space="preserve">Right of Access / Data Export: Customer data export available via the Nomii AI portal (GET /api/portal/customers/:id/export) providing a complete JSON export of all Personal Data held</w:t>
      </w:r>
    </w:p>
    <w:p>
      <w:pPr>
        <w:pStyle w:val="ListParagraph"/>
        <w:numPr>
          <w:ilvl w:val="0"/>
          <w:numId w:val="2"/>
        </w:numPr>
        <w:spacing w:after="40" w:before="40"/>
      </w:pPr>
      <w:r>
        <w:rPr>
          <w:rFonts w:ascii="Arial" w:cs="Arial" w:eastAsia="Arial" w:hAnsi="Arial"/>
          <w:color w:val="000000"/>
          <w:sz w:val="22"/>
          <w:szCs w:val="22"/>
        </w:rPr>
        <w:t xml:space="preserve">Right of Erasure: Full data anonymisation available via the Nomii AI portal (DELETE /api/portal/customers/:id) — anonymises PII, wipes AI memory, deletes structured data and flags, redacts message content</w:t>
      </w:r>
    </w:p>
    <w:p>
      <w:pPr>
        <w:pStyle w:val="ListParagraph"/>
        <w:numPr>
          <w:ilvl w:val="0"/>
          <w:numId w:val="2"/>
        </w:numPr>
        <w:spacing w:after="40" w:before="40"/>
      </w:pPr>
      <w:r>
        <w:rPr>
          <w:rFonts w:ascii="Arial" w:cs="Arial" w:eastAsia="Arial" w:hAnsi="Arial"/>
          <w:color w:val="000000"/>
          <w:sz w:val="22"/>
          <w:szCs w:val="22"/>
        </w:rPr>
        <w:t xml:space="preserve">Right of Rectification: Customer profile fields are editable in the portal</w:t>
      </w:r>
    </w:p>
    <w:p>
      <w:pPr>
        <w:pStyle w:val="ListParagraph"/>
        <w:numPr>
          <w:ilvl w:val="0"/>
          <w:numId w:val="2"/>
        </w:numPr>
        <w:spacing w:after="40" w:before="40"/>
      </w:pPr>
      <w:r>
        <w:rPr>
          <w:rFonts w:ascii="Arial" w:cs="Arial" w:eastAsia="Arial" w:hAnsi="Arial"/>
          <w:color w:val="000000"/>
          <w:sz w:val="22"/>
          <w:szCs w:val="22"/>
        </w:rPr>
        <w:t xml:space="preserve">Audit Log: The Controller can access audit logs showing all data accesses for a specific customer</w:t>
      </w:r>
    </w:p>
    <w:p>
      <w:pPr>
        <w:spacing w:after="100" w:before="80"/>
      </w:pPr>
      <w:r>
        <w:rPr>
          <w:rFonts w:ascii="Arial" w:cs="Arial" w:eastAsia="Arial" w:hAnsi="Arial"/>
          <w:color w:val="000000"/>
          <w:sz w:val="22"/>
          <w:szCs w:val="22"/>
        </w:rPr>
        <w:t xml:space="preserve">The Controller is responsible for receiving and verifying Data Subject requests and instructing the Processor where required. The Processor will respond to instructions from the Controller within 72 hours.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9. Personal Data Breach Notification</w:t>
      </w:r>
    </w:p>
    <w:p>
      <w:pPr>
        <w:spacing w:after="100" w:before="80"/>
      </w:pPr>
      <w:r>
        <w:rPr>
          <w:rFonts w:ascii="Arial" w:cs="Arial" w:eastAsia="Arial" w:hAnsi="Arial"/>
          <w:color w:val="000000"/>
          <w:sz w:val="22"/>
          <w:szCs w:val="22"/>
        </w:rPr>
        <w:t xml:space="preserve">In the event of a confirmed Data Breach affecting Personal Data processed under this DPA, the Processor shall:</w:t>
      </w:r>
    </w:p>
    <w:p>
      <w:pPr>
        <w:pStyle w:val="ListParagraph"/>
        <w:numPr>
          <w:ilvl w:val="0"/>
          <w:numId w:val="2"/>
        </w:numPr>
        <w:spacing w:after="40" w:before="40"/>
      </w:pPr>
      <w:r>
        <w:rPr>
          <w:rFonts w:ascii="Arial" w:cs="Arial" w:eastAsia="Arial" w:hAnsi="Arial"/>
          <w:color w:val="000000"/>
          <w:sz w:val="22"/>
          <w:szCs w:val="22"/>
        </w:rPr>
        <w:t xml:space="preserve">Notify the Controller without undue delay, and in any event within 48 hours of becoming aware of the breach</w:t>
      </w:r>
    </w:p>
    <w:p>
      <w:pPr>
        <w:pStyle w:val="ListParagraph"/>
        <w:numPr>
          <w:ilvl w:val="0"/>
          <w:numId w:val="2"/>
        </w:numPr>
        <w:spacing w:after="40" w:before="40"/>
      </w:pPr>
      <w:r>
        <w:rPr>
          <w:rFonts w:ascii="Arial" w:cs="Arial" w:eastAsia="Arial" w:hAnsi="Arial"/>
          <w:color w:val="000000"/>
          <w:sz w:val="22"/>
          <w:szCs w:val="22"/>
        </w:rPr>
        <w:t xml:space="preserve">Provide the Controller with sufficient information to enable it to notify the relevant Supervisory Authority within 72 hours (as required by GDPR Article 33)</w:t>
      </w:r>
    </w:p>
    <w:p>
      <w:pPr>
        <w:pStyle w:val="ListParagraph"/>
        <w:numPr>
          <w:ilvl w:val="0"/>
          <w:numId w:val="2"/>
        </w:numPr>
        <w:spacing w:after="40" w:before="40"/>
      </w:pPr>
      <w:r>
        <w:rPr>
          <w:rFonts w:ascii="Arial" w:cs="Arial" w:eastAsia="Arial" w:hAnsi="Arial"/>
          <w:color w:val="000000"/>
          <w:sz w:val="22"/>
          <w:szCs w:val="22"/>
        </w:rPr>
        <w:t xml:space="preserve">Cooperate with the Controller and assist in the investigation, mitigation, and remediation of the breach</w:t>
      </w:r>
    </w:p>
    <w:p>
      <w:pPr>
        <w:spacing w:after="100" w:before="80"/>
      </w:pPr>
      <w:r>
        <w:rPr>
          <w:rFonts w:ascii="Arial" w:cs="Arial" w:eastAsia="Arial" w:hAnsi="Arial"/>
          <w:color w:val="000000"/>
          <w:sz w:val="22"/>
          <w:szCs w:val="22"/>
        </w:rPr>
        <w:t xml:space="preserve">The notification to the Controller shall include, to the extent available:</w:t>
      </w:r>
    </w:p>
    <w:p>
      <w:pPr>
        <w:pStyle w:val="ListParagraph"/>
        <w:numPr>
          <w:ilvl w:val="0"/>
          <w:numId w:val="2"/>
        </w:numPr>
        <w:spacing w:after="40" w:before="40"/>
      </w:pPr>
      <w:r>
        <w:rPr>
          <w:rFonts w:ascii="Arial" w:cs="Arial" w:eastAsia="Arial" w:hAnsi="Arial"/>
          <w:color w:val="000000"/>
          <w:sz w:val="22"/>
          <w:szCs w:val="22"/>
        </w:rPr>
        <w:t xml:space="preserve">A description of the nature of the breach, including categories and approximate number of Data Subjects affected</w:t>
      </w:r>
    </w:p>
    <w:p>
      <w:pPr>
        <w:pStyle w:val="ListParagraph"/>
        <w:numPr>
          <w:ilvl w:val="0"/>
          <w:numId w:val="2"/>
        </w:numPr>
        <w:spacing w:after="40" w:before="40"/>
      </w:pPr>
      <w:r>
        <w:rPr>
          <w:rFonts w:ascii="Arial" w:cs="Arial" w:eastAsia="Arial" w:hAnsi="Arial"/>
          <w:color w:val="000000"/>
          <w:sz w:val="22"/>
          <w:szCs w:val="22"/>
        </w:rPr>
        <w:t xml:space="preserve">The name and contact details of the data protection contact at the Processor</w:t>
      </w:r>
    </w:p>
    <w:p>
      <w:pPr>
        <w:pStyle w:val="ListParagraph"/>
        <w:numPr>
          <w:ilvl w:val="0"/>
          <w:numId w:val="2"/>
        </w:numPr>
        <w:spacing w:after="40" w:before="40"/>
      </w:pPr>
      <w:r>
        <w:rPr>
          <w:rFonts w:ascii="Arial" w:cs="Arial" w:eastAsia="Arial" w:hAnsi="Arial"/>
          <w:color w:val="000000"/>
          <w:sz w:val="22"/>
          <w:szCs w:val="22"/>
        </w:rPr>
        <w:t xml:space="preserve">A description of likely consequences of the breach</w:t>
      </w:r>
    </w:p>
    <w:p>
      <w:pPr>
        <w:pStyle w:val="ListParagraph"/>
        <w:numPr>
          <w:ilvl w:val="0"/>
          <w:numId w:val="2"/>
        </w:numPr>
        <w:spacing w:after="40" w:before="40"/>
      </w:pPr>
      <w:r>
        <w:rPr>
          <w:rFonts w:ascii="Arial" w:cs="Arial" w:eastAsia="Arial" w:hAnsi="Arial"/>
          <w:color w:val="000000"/>
          <w:sz w:val="22"/>
          <w:szCs w:val="22"/>
        </w:rPr>
        <w:t xml:space="preserve">Measures taken or proposed to address the breach</w:t>
      </w:r>
    </w:p>
    <w:p>
      <w:pPr>
        <w:spacing w:after="100" w:before="80"/>
      </w:pPr>
      <w:r>
        <w:rPr>
          <w:rFonts w:ascii="Arial" w:cs="Arial" w:eastAsia="Arial" w:hAnsi="Arial"/>
          <w:color w:val="000000"/>
          <w:sz w:val="22"/>
          <w:szCs w:val="22"/>
        </w:rPr>
        <w:t xml:space="preserve">Notification under this clause is not an admission of fault. The Processor shall document all breaches in accordance with GDPR Article 33(5).</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10. Data Protection Impact Assessments</w:t>
      </w:r>
    </w:p>
    <w:p>
      <w:pPr>
        <w:spacing w:after="100" w:before="80"/>
      </w:pPr>
      <w:r>
        <w:rPr>
          <w:rFonts w:ascii="Arial" w:cs="Arial" w:eastAsia="Arial" w:hAnsi="Arial"/>
          <w:color w:val="000000"/>
          <w:sz w:val="22"/>
          <w:szCs w:val="22"/>
        </w:rPr>
        <w:t xml:space="preserve">Where required by GDPR Article 35, the Processor shall assist the Controller in carrying out a Data Protection Impact Assessment (DPIA) and, where applicable, prior consultation with a Supervisory Authority, taking into account the nature of the processing and the information available to the Processor.</w:t>
      </w:r>
    </w:p>
    <w:p>
      <w:pPr>
        <w:spacing w:after="80" w:before="80"/>
        <w:ind w:left="360"/>
      </w:pPr>
      <w:r>
        <w:rPr>
          <w:rFonts w:ascii="Arial" w:cs="Arial" w:eastAsia="Arial" w:hAnsi="Arial"/>
          <w:i/>
          <w:iCs/>
          <w:color w:val="666666"/>
          <w:sz w:val="20"/>
          <w:szCs w:val="20"/>
        </w:rPr>
        <w:t xml:space="preserve">Attorney note: A DPIA is likely required before deploying Nomii AI for financial services customers in the EU, given the volume and sensitivity of personal data processed (financial information, life goals, personal profile). This should be completed before onboarding EU Tenants.</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11. Audit Rights</w:t>
      </w:r>
    </w:p>
    <w:p>
      <w:pPr>
        <w:spacing w:after="100" w:before="80"/>
      </w:pPr>
      <w:r>
        <w:rPr>
          <w:rFonts w:ascii="Arial" w:cs="Arial" w:eastAsia="Arial" w:hAnsi="Arial"/>
          <w:color w:val="000000"/>
          <w:sz w:val="22"/>
          <w:szCs w:val="22"/>
        </w:rPr>
        <w:t xml:space="preserve">The Processor shall make available to the Controller all information necessary to demonstrate compliance with obligations under this DPA and shall allow for and contribute to audits, including inspections, conducted by the Controller or an auditor mandated by the Controller.</w:t>
      </w:r>
    </w:p>
    <w:p>
      <w:pPr>
        <w:spacing w:after="100" w:before="80"/>
      </w:pPr>
      <w:r>
        <w:rPr>
          <w:rFonts w:ascii="Arial" w:cs="Arial" w:eastAsia="Arial" w:hAnsi="Arial"/>
          <w:color w:val="000000"/>
          <w:sz w:val="22"/>
          <w:szCs w:val="22"/>
        </w:rPr>
        <w:t xml:space="preserve">The Controller shall provide reasonable prior written notice (not less than 14 days) before conducting an audit. Audits shall:</w:t>
      </w:r>
    </w:p>
    <w:p>
      <w:pPr>
        <w:pStyle w:val="ListParagraph"/>
        <w:numPr>
          <w:ilvl w:val="0"/>
          <w:numId w:val="2"/>
        </w:numPr>
        <w:spacing w:after="40" w:before="40"/>
      </w:pPr>
      <w:r>
        <w:rPr>
          <w:rFonts w:ascii="Arial" w:cs="Arial" w:eastAsia="Arial" w:hAnsi="Arial"/>
          <w:color w:val="000000"/>
          <w:sz w:val="22"/>
          <w:szCs w:val="22"/>
        </w:rPr>
        <w:t xml:space="preserve">Be conducted during normal business hours</w:t>
      </w:r>
    </w:p>
    <w:p>
      <w:pPr>
        <w:pStyle w:val="ListParagraph"/>
        <w:numPr>
          <w:ilvl w:val="0"/>
          <w:numId w:val="2"/>
        </w:numPr>
        <w:spacing w:after="40" w:before="40"/>
      </w:pPr>
      <w:r>
        <w:rPr>
          <w:rFonts w:ascii="Arial" w:cs="Arial" w:eastAsia="Arial" w:hAnsi="Arial"/>
          <w:color w:val="000000"/>
          <w:sz w:val="22"/>
          <w:szCs w:val="22"/>
        </w:rPr>
        <w:t xml:space="preserve">Not unreasonably interfere with the Processor's operations</w:t>
      </w:r>
    </w:p>
    <w:p>
      <w:pPr>
        <w:pStyle w:val="ListParagraph"/>
        <w:numPr>
          <w:ilvl w:val="0"/>
          <w:numId w:val="2"/>
        </w:numPr>
        <w:spacing w:after="40" w:before="40"/>
      </w:pPr>
      <w:r>
        <w:rPr>
          <w:rFonts w:ascii="Arial" w:cs="Arial" w:eastAsia="Arial" w:hAnsi="Arial"/>
          <w:color w:val="000000"/>
          <w:sz w:val="22"/>
          <w:szCs w:val="22"/>
        </w:rPr>
        <w:t xml:space="preserve">Be at the Controller's cost</w:t>
      </w:r>
    </w:p>
    <w:p>
      <w:pPr>
        <w:pStyle w:val="ListParagraph"/>
        <w:numPr>
          <w:ilvl w:val="0"/>
          <w:numId w:val="2"/>
        </w:numPr>
        <w:spacing w:after="40" w:before="40"/>
      </w:pPr>
      <w:r>
        <w:rPr>
          <w:rFonts w:ascii="Arial" w:cs="Arial" w:eastAsia="Arial" w:hAnsi="Arial"/>
          <w:color w:val="000000"/>
          <w:sz w:val="22"/>
          <w:szCs w:val="22"/>
        </w:rPr>
        <w:t xml:space="preserve">Be subject to reasonable confidentiality obligations</w:t>
      </w:r>
    </w:p>
    <w:p>
      <w:pPr>
        <w:spacing w:after="100" w:before="80"/>
      </w:pPr>
      <w:r>
        <w:rPr>
          <w:rFonts w:ascii="Arial" w:cs="Arial" w:eastAsia="Arial" w:hAnsi="Arial"/>
          <w:color w:val="000000"/>
          <w:sz w:val="22"/>
          <w:szCs w:val="22"/>
        </w:rPr>
        <w:t xml:space="preserve">As an alternative to a direct audit, the Processor may provide the Controller with an independent third-party security certification or audit report demonstrating compliance with this DPA, provided the Controller is satisfied such report adequately covers the relevant processing.</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12. Return and Deletion of Data</w:t>
      </w:r>
    </w:p>
    <w:p>
      <w:pPr>
        <w:spacing w:after="100" w:before="80"/>
      </w:pPr>
      <w:r>
        <w:rPr>
          <w:rFonts w:ascii="Arial" w:cs="Arial" w:eastAsia="Arial" w:hAnsi="Arial"/>
          <w:color w:val="000000"/>
          <w:sz w:val="22"/>
          <w:szCs w:val="22"/>
        </w:rPr>
        <w:t xml:space="preserve">Upon termination or expiry of the Principal Agreement, the Processor shall, at the Controller's choice:</w:t>
      </w:r>
    </w:p>
    <w:p>
      <w:pPr>
        <w:pStyle w:val="ListParagraph"/>
        <w:numPr>
          <w:ilvl w:val="0"/>
          <w:numId w:val="2"/>
        </w:numPr>
        <w:spacing w:after="40" w:before="40"/>
      </w:pPr>
      <w:r>
        <w:rPr>
          <w:rFonts w:ascii="Arial" w:cs="Arial" w:eastAsia="Arial" w:hAnsi="Arial"/>
          <w:color w:val="000000"/>
          <w:sz w:val="22"/>
          <w:szCs w:val="22"/>
        </w:rPr>
        <w:t xml:space="preserve">Return all Personal Data to the Controller in a machine-readable format (JSON export via the portal); or</w:t>
      </w:r>
    </w:p>
    <w:p>
      <w:pPr>
        <w:pStyle w:val="ListParagraph"/>
        <w:numPr>
          <w:ilvl w:val="0"/>
          <w:numId w:val="2"/>
        </w:numPr>
        <w:spacing w:after="40" w:before="40"/>
      </w:pPr>
      <w:r>
        <w:rPr>
          <w:rFonts w:ascii="Arial" w:cs="Arial" w:eastAsia="Arial" w:hAnsi="Arial"/>
          <w:color w:val="000000"/>
          <w:sz w:val="22"/>
          <w:szCs w:val="22"/>
        </w:rPr>
        <w:t xml:space="preserve">Delete all Personal Data and confirm deletion in writing</w:t>
      </w:r>
    </w:p>
    <w:p>
      <w:pPr>
        <w:spacing w:after="100" w:before="80"/>
      </w:pPr>
      <w:r>
        <w:rPr>
          <w:rFonts w:ascii="Arial" w:cs="Arial" w:eastAsia="Arial" w:hAnsi="Arial"/>
          <w:color w:val="000000"/>
          <w:sz w:val="22"/>
          <w:szCs w:val="22"/>
        </w:rPr>
        <w:t xml:space="preserve">The Controller has 30 days following termination to request an export before deletion is automatically initiated. Audit logs are retained for 7 years to comply with legal obligations and will not be deleted upon termination.</w:t>
      </w:r>
    </w:p>
    <w:p>
      <w:pPr>
        <w:spacing w:after="100" w:before="80"/>
      </w:pPr>
      <w:r>
        <w:rPr>
          <w:rFonts w:ascii="Arial" w:cs="Arial" w:eastAsia="Arial" w:hAnsi="Arial"/>
          <w:color w:val="000000"/>
          <w:sz w:val="22"/>
          <w:szCs w:val="22"/>
        </w:rPr>
        <w:t xml:space="preserve">Deletion under this clause does not affect audit logs or anonymised analytics data that no longer constitutes Personal Data.</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13. Term</w:t>
      </w:r>
    </w:p>
    <w:p>
      <w:pPr>
        <w:spacing w:after="100" w:before="80"/>
      </w:pPr>
      <w:r>
        <w:rPr>
          <w:rFonts w:ascii="Arial" w:cs="Arial" w:eastAsia="Arial" w:hAnsi="Arial"/>
          <w:color w:val="000000"/>
          <w:sz w:val="22"/>
          <w:szCs w:val="22"/>
        </w:rPr>
        <w:t xml:space="preserve">This DPA shall take effect on the date first written above and shall remain in force for the duration of the Principal Agreement. This DPA shall automatically terminate when the Principal Agreement terminates or expires.</w:t>
      </w:r>
    </w:p>
    <w:p>
      <w:pPr>
        <w:spacing w:after="100" w:before="80"/>
      </w:pPr>
      <w:r>
        <w:rPr>
          <w:rFonts w:ascii="Arial" w:cs="Arial" w:eastAsia="Arial" w:hAnsi="Arial"/>
          <w:color w:val="000000"/>
          <w:sz w:val="22"/>
          <w:szCs w:val="22"/>
        </w:rPr>
        <w:t xml:space="preserve">Obligations that by their nature survive termination (including Sections 9, 10, 11, and 12) shall survive the termination of this DPA.</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SIGNATURES</w:t>
      </w:r>
    </w:p>
    <w:p>
      <w:pPr>
        <w:spacing w:after="100" w:before="80"/>
      </w:pPr>
      <w:r>
        <w:rPr>
          <w:rFonts w:ascii="Arial" w:cs="Arial" w:eastAsia="Arial" w:hAnsi="Arial"/>
          <w:color w:val="000000"/>
          <w:sz w:val="22"/>
          <w:szCs w:val="22"/>
        </w:rPr>
        <w:t xml:space="preserve">The Parties have executed this Data Processing Agreement as of the date first written above.</w:t>
      </w:r>
    </w:p>
    <w:p>
      <w:pPr>
        <w:spacing w:after="0" w:before="2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single" w:color="CCCCCC" w:sz="2"/>
            </w:tcBorders>
            <w:tcMar>
              <w:top w:type="dxa" w:w="80"/>
              <w:left w:type="dxa" w:w="120"/>
              <w:bottom w:type="dxa" w:w="80"/>
              <w:right w:type="dxa" w:w="240"/>
            </w:tcMar>
          </w:tcPr>
          <w:p>
            <w:r>
              <w:rPr>
                <w:rFonts w:ascii="Arial" w:cs="Arial" w:eastAsia="Arial" w:hAnsi="Arial"/>
                <w:b/>
                <w:bCs/>
                <w:color w:val="1E3A5F"/>
                <w:sz w:val="22"/>
                <w:szCs w:val="22"/>
              </w:rPr>
              <w:t xml:space="preserve">FOR THE CONTROLLER</w:t>
            </w:r>
          </w:p>
          <w:p>
            <w:pPr>
              <w:spacing w:after="40" w:before="80"/>
            </w:pPr>
            <w:r>
              <w:rPr>
                <w:rFonts w:ascii="Arial" w:cs="Arial" w:eastAsia="Arial" w:hAnsi="Arial"/>
                <w:b/>
                <w:bCs/>
                <w:sz w:val="22"/>
                <w:szCs w:val="22"/>
              </w:rPr>
              <w:t xml:space="preserve">Company: </w:t>
            </w:r>
            <w:r>
              <w:rPr>
                <w:rFonts w:ascii="Arial" w:cs="Arial" w:eastAsia="Arial" w:hAnsi="Arial"/>
                <w:b/>
                <w:bCs/>
                <w:color w:val="D45B00"/>
                <w:sz w:val="22"/>
                <w:szCs w:val="22"/>
              </w:rPr>
              <w:t xml:space="preserve">[TENANT COMPANY NAME]</w:t>
            </w:r>
          </w:p>
          <w:p>
            <w:pPr>
              <w:spacing w:after="40" w:before="60"/>
            </w:pPr>
            <w:r>
              <w:rPr>
                <w:rFonts w:ascii="Arial" w:cs="Arial" w:eastAsia="Arial" w:hAnsi="Arial"/>
                <w:sz w:val="22"/>
                <w:szCs w:val="22"/>
              </w:rPr>
              <w:t xml:space="preserve">Signature: ___________________________</w:t>
            </w:r>
          </w:p>
          <w:p>
            <w:pPr>
              <w:spacing w:after="40" w:before="60"/>
            </w:pPr>
            <w:r>
              <w:rPr>
                <w:rFonts w:ascii="Arial" w:cs="Arial" w:eastAsia="Arial" w:hAnsi="Arial"/>
                <w:sz w:val="22"/>
                <w:szCs w:val="22"/>
              </w:rPr>
              <w:t xml:space="preserve">Name: ________________________________</w:t>
            </w:r>
          </w:p>
          <w:p>
            <w:pPr>
              <w:spacing w:after="40" w:before="60"/>
            </w:pPr>
            <w:r>
              <w:rPr>
                <w:rFonts w:ascii="Arial" w:cs="Arial" w:eastAsia="Arial" w:hAnsi="Arial"/>
                <w:sz w:val="22"/>
                <w:szCs w:val="22"/>
              </w:rPr>
              <w:t xml:space="preserve">Title: _________________________________</w:t>
            </w:r>
          </w:p>
          <w:p>
            <w:pPr>
              <w:spacing w:after="40" w:before="60"/>
            </w:pPr>
            <w:r>
              <w:rPr>
                <w:rFonts w:ascii="Arial" w:cs="Arial" w:eastAsia="Arial" w:hAnsi="Arial"/>
                <w:sz w:val="22"/>
                <w:szCs w:val="22"/>
              </w:rPr>
              <w:t xml:space="preserve">Date: _________________________________</w:t>
            </w:r>
          </w:p>
        </w:tc>
        <w:tc>
          <w:tcPr>
            <w:tcW w:type="dxa" w:w="4680"/>
            <w:tcBorders>
              <w:top w:val="none" w:color="FFFFFF" w:sz="0"/>
              <w:left w:val="none" w:color="FFFFFF" w:sz="0"/>
              <w:bottom w:val="none" w:color="FFFFFF" w:sz="0"/>
              <w:right w:val="none" w:color="FFFFFF" w:sz="0"/>
            </w:tcBorders>
            <w:tcMar>
              <w:top w:type="dxa" w:w="80"/>
              <w:left w:type="dxa" w:w="240"/>
              <w:bottom w:type="dxa" w:w="80"/>
              <w:right w:type="dxa" w:w="120"/>
            </w:tcMar>
          </w:tcPr>
          <w:p>
            <w:r>
              <w:rPr>
                <w:rFonts w:ascii="Arial" w:cs="Arial" w:eastAsia="Arial" w:hAnsi="Arial"/>
                <w:b/>
                <w:bCs/>
                <w:color w:val="1E3A5F"/>
                <w:sz w:val="22"/>
                <w:szCs w:val="22"/>
              </w:rPr>
              <w:t xml:space="preserve">FOR THE PROCESSOR (NOMII AI)</w:t>
            </w:r>
          </w:p>
          <w:p>
            <w:pPr>
              <w:spacing w:after="40" w:before="80"/>
            </w:pPr>
            <w:r>
              <w:rPr>
                <w:rFonts w:ascii="Arial" w:cs="Arial" w:eastAsia="Arial" w:hAnsi="Arial"/>
                <w:sz w:val="22"/>
                <w:szCs w:val="22"/>
              </w:rPr>
              <w:t xml:space="preserve">Company: Ponten Solutions</w:t>
            </w:r>
          </w:p>
          <w:p>
            <w:pPr>
              <w:spacing w:after="40" w:before="60"/>
            </w:pPr>
            <w:r>
              <w:rPr>
                <w:rFonts w:ascii="Arial" w:cs="Arial" w:eastAsia="Arial" w:hAnsi="Arial"/>
                <w:sz w:val="22"/>
                <w:szCs w:val="22"/>
              </w:rPr>
              <w:t xml:space="preserve">Signature: ___________________________</w:t>
            </w:r>
          </w:p>
          <w:p>
            <w:pPr>
              <w:spacing w:after="40" w:before="60"/>
            </w:pPr>
            <w:r>
              <w:rPr>
                <w:rFonts w:ascii="Arial" w:cs="Arial" w:eastAsia="Arial" w:hAnsi="Arial"/>
                <w:sz w:val="22"/>
                <w:szCs w:val="22"/>
              </w:rPr>
              <w:t xml:space="preserve">Name: ________________________________</w:t>
            </w:r>
          </w:p>
          <w:p>
            <w:pPr>
              <w:spacing w:after="40" w:before="60"/>
            </w:pPr>
            <w:r>
              <w:rPr>
                <w:rFonts w:ascii="Arial" w:cs="Arial" w:eastAsia="Arial" w:hAnsi="Arial"/>
                <w:sz w:val="22"/>
                <w:szCs w:val="22"/>
              </w:rPr>
              <w:t xml:space="preserve">Title: _________________________________</w:t>
            </w:r>
          </w:p>
          <w:p>
            <w:pPr>
              <w:spacing w:after="40" w:before="60"/>
            </w:pPr>
            <w:r>
              <w:rPr>
                <w:rFonts w:ascii="Arial" w:cs="Arial" w:eastAsia="Arial" w:hAnsi="Arial"/>
                <w:sz w:val="22"/>
                <w:szCs w:val="22"/>
              </w:rPr>
              <w:t xml:space="preserve">Date: _________________________________</w:t>
            </w:r>
          </w:p>
        </w:tc>
      </w:tr>
    </w:tbl>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ANNEX I — Description of Processing</w:t>
      </w:r>
    </w:p>
    <w:p>
      <w:pPr>
        <w:pStyle w:val="Heading2"/>
        <w:spacing w:after="80" w:before="240"/>
      </w:pPr>
      <w:r>
        <w:rPr>
          <w:rFonts w:ascii="Arial" w:cs="Arial" w:eastAsia="Arial" w:hAnsi="Arial"/>
          <w:b/>
          <w:bCs/>
          <w:color w:val="1E3A5F"/>
          <w:sz w:val="24"/>
          <w:szCs w:val="24"/>
        </w:rPr>
        <w:t xml:space="preserve">A. List of Parties</w:t>
      </w:r>
    </w:p>
    <w:p>
      <w:pPr>
        <w:spacing w:after="100" w:before="80"/>
      </w:pPr>
      <w:r>
        <w:rPr>
          <w:rFonts w:ascii="Arial" w:cs="Arial" w:eastAsia="Arial" w:hAnsi="Arial"/>
          <w:color w:val="000000"/>
          <w:sz w:val="22"/>
          <w:szCs w:val="22"/>
        </w:rPr>
        <w:t xml:space="preserve">Controller: As identified on the signature page.</w:t>
      </w:r>
    </w:p>
    <w:p>
      <w:pPr>
        <w:spacing w:after="100" w:before="80"/>
      </w:pPr>
      <w:r>
        <w:rPr>
          <w:rFonts w:ascii="Arial" w:cs="Arial" w:eastAsia="Arial" w:hAnsi="Arial"/>
          <w:color w:val="000000"/>
          <w:sz w:val="22"/>
          <w:szCs w:val="22"/>
        </w:rPr>
        <w:t xml:space="preserve">Processor: Ponten Solutions (Nomii AI).</w:t>
      </w:r>
    </w:p>
    <w:p>
      <w:pPr>
        <w:pStyle w:val="Heading2"/>
        <w:spacing w:after="80" w:before="240"/>
      </w:pPr>
      <w:r>
        <w:rPr>
          <w:rFonts w:ascii="Arial" w:cs="Arial" w:eastAsia="Arial" w:hAnsi="Arial"/>
          <w:b/>
          <w:bCs/>
          <w:color w:val="1E3A5F"/>
          <w:sz w:val="24"/>
          <w:szCs w:val="24"/>
        </w:rPr>
        <w:t xml:space="preserve">B. Description of Transfer / Processing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Categories of Data Subjects</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End customers of the Controller (individuals who interact with the AI agent); employees and contractors of the Controller who access the portal</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Categories of Personal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Identity data (name, email, phone, date of birth, location); conversation content; AI-extracted profile data (goals, concerns, preferences); financial data (where relevant to the Tenant's service); employment and career data; family information; authentication data (hashed passwords, session tokens); IP addresses; portal activity logs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Special Category Data</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666666"/>
                <w:sz w:val="20"/>
                <w:szCs w:val="20"/>
              </w:rPr>
              <w:t xml:space="preserve">Health information and financial data may be processed if shared voluntarily by Data Subjects during AI conversations, depending on the nature of the Tenant's service. Attorney to confirm GDPR Article 9 basis.</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Nature of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Collection, storage, structuring, use, retrieval, disclosure by transmission to Sub-Processors (AI model, SMTP), erasure, and anonymisation</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Purpose of Processing</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Providing the AI agent service on behalf of the Controller; personalising the service through memory features; generating reports and summaries; delivering documents by email; enabling advisor oversight; ensuring platform security</w:t>
            </w:r>
          </w:p>
        </w:tc>
      </w:tr>
      <w:tr>
        <w:tc>
          <w:tcPr>
            <w:tcW w:type="dxa" w:w="3000"/>
            <w:tcBorders>
              <w:top w:val="single" w:color="CCCCCC" w:sz="1"/>
              <w:left w:val="single" w:color="CCCCCC" w:sz="1"/>
              <w:bottom w:val="single" w:color="CCCCCC" w:sz="1"/>
              <w:right w:val="single" w:color="CCCCCC" w:sz="1"/>
            </w:tcBorders>
            <w:shd w:fill="EBF0F7" w:val="clear"/>
            <w:tcMar>
              <w:top w:type="dxa" w:w="80"/>
              <w:left w:type="dxa" w:w="120"/>
              <w:bottom w:type="dxa" w:w="80"/>
              <w:right w:type="dxa" w:w="120"/>
            </w:tcMar>
          </w:tcPr>
          <w:p>
            <w:r>
              <w:rPr>
                <w:rFonts w:ascii="Arial" w:cs="Arial" w:eastAsia="Arial" w:hAnsi="Arial"/>
                <w:b/>
                <w:bCs/>
                <w:color w:val="1E3A5F"/>
                <w:sz w:val="20"/>
                <w:szCs w:val="20"/>
              </w:rPr>
              <w:t xml:space="preserve">Retention Period</w:t>
            </w:r>
          </w:p>
        </w:tc>
        <w:tc>
          <w:tcPr>
            <w:tcW w:type="dxa" w:w="6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As specified in the Privacy Policy and configurable per Tenant: message content up to 2 years; AI memory for duration of subscription; audit logs 7 years; anonymous sessions 30 days</w:t>
            </w:r>
          </w:p>
        </w:tc>
      </w:tr>
    </w:tbl>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ANNEX II — Technical and Organisational Security Measures</w:t>
      </w:r>
    </w:p>
    <w:p>
      <w:pPr>
        <w:spacing w:after="100" w:before="80"/>
      </w:pPr>
      <w:r>
        <w:rPr>
          <w:rFonts w:ascii="Arial" w:cs="Arial" w:eastAsia="Arial" w:hAnsi="Arial"/>
          <w:color w:val="000000"/>
          <w:sz w:val="22"/>
          <w:szCs w:val="22"/>
        </w:rPr>
        <w:t xml:space="preserve">The Processor implements and maintains the following security measures as required by GDPR Article 32:</w:t>
      </w:r>
    </w:p>
    <w:p>
      <w:pPr>
        <w:pStyle w:val="Heading2"/>
        <w:spacing w:after="80" w:before="240"/>
      </w:pPr>
      <w:r>
        <w:rPr>
          <w:rFonts w:ascii="Arial" w:cs="Arial" w:eastAsia="Arial" w:hAnsi="Arial"/>
          <w:b/>
          <w:bCs/>
          <w:color w:val="1E3A5F"/>
          <w:sz w:val="24"/>
          <w:szCs w:val="24"/>
        </w:rPr>
        <w:t xml:space="preserve">Encryption</w:t>
      </w:r>
    </w:p>
    <w:p>
      <w:pPr>
        <w:pStyle w:val="ListParagraph"/>
        <w:numPr>
          <w:ilvl w:val="0"/>
          <w:numId w:val="2"/>
        </w:numPr>
        <w:spacing w:after="40" w:before="40"/>
      </w:pPr>
      <w:r>
        <w:rPr>
          <w:rFonts w:ascii="Arial" w:cs="Arial" w:eastAsia="Arial" w:hAnsi="Arial"/>
          <w:color w:val="000000"/>
          <w:sz w:val="22"/>
          <w:szCs w:val="22"/>
        </w:rPr>
        <w:t xml:space="preserve">All data in transit encrypted using TLS 1.2 or higher</w:t>
      </w:r>
    </w:p>
    <w:p>
      <w:pPr>
        <w:pStyle w:val="ListParagraph"/>
        <w:numPr>
          <w:ilvl w:val="0"/>
          <w:numId w:val="2"/>
        </w:numPr>
        <w:spacing w:after="40" w:before="40"/>
      </w:pPr>
      <w:r>
        <w:rPr>
          <w:rFonts w:ascii="Arial" w:cs="Arial" w:eastAsia="Arial" w:hAnsi="Arial"/>
          <w:color w:val="000000"/>
          <w:sz w:val="22"/>
          <w:szCs w:val="22"/>
        </w:rPr>
        <w:t xml:space="preserve">API keys and sensitive credentials encrypted at rest using AES-256-GCM</w:t>
      </w:r>
    </w:p>
    <w:p>
      <w:pPr>
        <w:pStyle w:val="ListParagraph"/>
        <w:numPr>
          <w:ilvl w:val="0"/>
          <w:numId w:val="2"/>
        </w:numPr>
        <w:spacing w:after="40" w:before="40"/>
      </w:pPr>
      <w:r>
        <w:rPr>
          <w:rFonts w:ascii="Arial" w:cs="Arial" w:eastAsia="Arial" w:hAnsi="Arial"/>
          <w:color w:val="000000"/>
          <w:sz w:val="22"/>
          <w:szCs w:val="22"/>
        </w:rPr>
        <w:t xml:space="preserve">User passwords hashed using bcrypt (minimum cost factor 10)</w:t>
      </w:r>
    </w:p>
    <w:p>
      <w:pPr>
        <w:pStyle w:val="ListParagraph"/>
        <w:numPr>
          <w:ilvl w:val="0"/>
          <w:numId w:val="2"/>
        </w:numPr>
        <w:spacing w:after="40" w:before="40"/>
      </w:pPr>
      <w:r>
        <w:rPr>
          <w:rFonts w:ascii="Arial" w:cs="Arial" w:eastAsia="Arial" w:hAnsi="Arial"/>
          <w:color w:val="000000"/>
          <w:sz w:val="22"/>
          <w:szCs w:val="22"/>
        </w:rPr>
        <w:t xml:space="preserve">Database files encrypted at disk level by the hosting provider</w:t>
      </w:r>
    </w:p>
    <w:p>
      <w:pPr>
        <w:pStyle w:val="Heading2"/>
        <w:spacing w:after="80" w:before="240"/>
      </w:pPr>
      <w:r>
        <w:rPr>
          <w:rFonts w:ascii="Arial" w:cs="Arial" w:eastAsia="Arial" w:hAnsi="Arial"/>
          <w:b/>
          <w:bCs/>
          <w:color w:val="1E3A5F"/>
          <w:sz w:val="24"/>
          <w:szCs w:val="24"/>
        </w:rPr>
        <w:t xml:space="preserve">Access Controls</w:t>
      </w:r>
    </w:p>
    <w:p>
      <w:pPr>
        <w:pStyle w:val="ListParagraph"/>
        <w:numPr>
          <w:ilvl w:val="0"/>
          <w:numId w:val="2"/>
        </w:numPr>
        <w:spacing w:after="40" w:before="40"/>
      </w:pPr>
      <w:r>
        <w:rPr>
          <w:rFonts w:ascii="Arial" w:cs="Arial" w:eastAsia="Arial" w:hAnsi="Arial"/>
          <w:color w:val="000000"/>
          <w:sz w:val="22"/>
          <w:szCs w:val="22"/>
        </w:rPr>
        <w:t xml:space="preserve">Role-based access control (RBAC): customers, advisors, and admins have different data access levels</w:t>
      </w:r>
    </w:p>
    <w:p>
      <w:pPr>
        <w:pStyle w:val="ListParagraph"/>
        <w:numPr>
          <w:ilvl w:val="0"/>
          <w:numId w:val="2"/>
        </w:numPr>
        <w:spacing w:after="40" w:before="40"/>
      </w:pPr>
      <w:r>
        <w:rPr>
          <w:rFonts w:ascii="Arial" w:cs="Arial" w:eastAsia="Arial" w:hAnsi="Arial"/>
          <w:color w:val="000000"/>
          <w:sz w:val="22"/>
          <w:szCs w:val="22"/>
        </w:rPr>
        <w:t xml:space="preserve">Multi-tenant isolation: all database queries scoped to tenant_id — no cross-tenant data access</w:t>
      </w:r>
    </w:p>
    <w:p>
      <w:pPr>
        <w:pStyle w:val="ListParagraph"/>
        <w:numPr>
          <w:ilvl w:val="0"/>
          <w:numId w:val="2"/>
        </w:numPr>
        <w:spacing w:after="40" w:before="40"/>
      </w:pPr>
      <w:r>
        <w:rPr>
          <w:rFonts w:ascii="Arial" w:cs="Arial" w:eastAsia="Arial" w:hAnsi="Arial"/>
          <w:color w:val="000000"/>
          <w:sz w:val="22"/>
          <w:szCs w:val="22"/>
        </w:rPr>
        <w:t xml:space="preserve">JWT authentication with configurable expiry</w:t>
      </w:r>
    </w:p>
    <w:p>
      <w:pPr>
        <w:pStyle w:val="ListParagraph"/>
        <w:numPr>
          <w:ilvl w:val="0"/>
          <w:numId w:val="2"/>
        </w:numPr>
        <w:spacing w:after="40" w:before="40"/>
      </w:pPr>
      <w:r>
        <w:rPr>
          <w:rFonts w:ascii="Arial" w:cs="Arial" w:eastAsia="Arial" w:hAnsi="Arial"/>
          <w:color w:val="000000"/>
          <w:sz w:val="22"/>
          <w:szCs w:val="22"/>
        </w:rPr>
        <w:t xml:space="preserve">Brute-force protection on all authentication endpoints (rate limiting)</w:t>
      </w:r>
    </w:p>
    <w:p>
      <w:pPr>
        <w:pStyle w:val="Heading2"/>
        <w:spacing w:after="80" w:before="240"/>
      </w:pPr>
      <w:r>
        <w:rPr>
          <w:rFonts w:ascii="Arial" w:cs="Arial" w:eastAsia="Arial" w:hAnsi="Arial"/>
          <w:b/>
          <w:bCs/>
          <w:color w:val="1E3A5F"/>
          <w:sz w:val="24"/>
          <w:szCs w:val="24"/>
        </w:rPr>
        <w:t xml:space="preserve">Audit and Monitoring</w:t>
      </w:r>
    </w:p>
    <w:p>
      <w:pPr>
        <w:pStyle w:val="ListParagraph"/>
        <w:numPr>
          <w:ilvl w:val="0"/>
          <w:numId w:val="2"/>
        </w:numPr>
        <w:spacing w:after="40" w:before="40"/>
      </w:pPr>
      <w:r>
        <w:rPr>
          <w:rFonts w:ascii="Arial" w:cs="Arial" w:eastAsia="Arial" w:hAnsi="Arial"/>
          <w:color w:val="000000"/>
          <w:sz w:val="22"/>
          <w:szCs w:val="22"/>
        </w:rPr>
        <w:t xml:space="preserve">Full audit log of all sensitive data accesses, including actor, event, IP address, timestamp, and outcome</w:t>
      </w:r>
    </w:p>
    <w:p>
      <w:pPr>
        <w:pStyle w:val="ListParagraph"/>
        <w:numPr>
          <w:ilvl w:val="0"/>
          <w:numId w:val="2"/>
        </w:numPr>
        <w:spacing w:after="40" w:before="40"/>
      </w:pPr>
      <w:r>
        <w:rPr>
          <w:rFonts w:ascii="Arial" w:cs="Arial" w:eastAsia="Arial" w:hAnsi="Arial"/>
          <w:color w:val="000000"/>
          <w:sz w:val="22"/>
          <w:szCs w:val="22"/>
        </w:rPr>
        <w:t xml:space="preserve">Login success and failure events logged</w:t>
      </w:r>
    </w:p>
    <w:p>
      <w:pPr>
        <w:pStyle w:val="ListParagraph"/>
        <w:numPr>
          <w:ilvl w:val="0"/>
          <w:numId w:val="2"/>
        </w:numPr>
        <w:spacing w:after="40" w:before="40"/>
      </w:pPr>
      <w:r>
        <w:rPr>
          <w:rFonts w:ascii="Arial" w:cs="Arial" w:eastAsia="Arial" w:hAnsi="Arial"/>
          <w:color w:val="000000"/>
          <w:sz w:val="22"/>
          <w:szCs w:val="22"/>
        </w:rPr>
        <w:t xml:space="preserve">Data exports and erasure requests logged</w:t>
      </w:r>
    </w:p>
    <w:p>
      <w:pPr>
        <w:pStyle w:val="Heading2"/>
        <w:spacing w:after="80" w:before="240"/>
      </w:pPr>
      <w:r>
        <w:rPr>
          <w:rFonts w:ascii="Arial" w:cs="Arial" w:eastAsia="Arial" w:hAnsi="Arial"/>
          <w:b/>
          <w:bCs/>
          <w:color w:val="1E3A5F"/>
          <w:sz w:val="24"/>
          <w:szCs w:val="24"/>
        </w:rPr>
        <w:t xml:space="preserve">Network Security</w:t>
      </w:r>
    </w:p>
    <w:p>
      <w:pPr>
        <w:pStyle w:val="ListParagraph"/>
        <w:numPr>
          <w:ilvl w:val="0"/>
          <w:numId w:val="2"/>
        </w:numPr>
        <w:spacing w:after="40" w:before="40"/>
      </w:pPr>
      <w:r>
        <w:rPr>
          <w:rFonts w:ascii="Arial" w:cs="Arial" w:eastAsia="Arial" w:hAnsi="Arial"/>
          <w:color w:val="000000"/>
          <w:sz w:val="22"/>
          <w:szCs w:val="22"/>
        </w:rPr>
        <w:t xml:space="preserve">HTTP security headers: X-Content-Type-Options, X-Frame-Options, Strict-Transport-Security, Content-Security-Policy, Referrer-Policy, Permissions-Policy</w:t>
      </w:r>
    </w:p>
    <w:p>
      <w:pPr>
        <w:pStyle w:val="ListParagraph"/>
        <w:numPr>
          <w:ilvl w:val="0"/>
          <w:numId w:val="2"/>
        </w:numPr>
        <w:spacing w:after="40" w:before="40"/>
      </w:pPr>
      <w:r>
        <w:rPr>
          <w:rFonts w:ascii="Arial" w:cs="Arial" w:eastAsia="Arial" w:hAnsi="Arial"/>
          <w:color w:val="000000"/>
          <w:sz w:val="22"/>
          <w:szCs w:val="22"/>
        </w:rPr>
        <w:t xml:space="preserve">CORS restricted to known frontend origins</w:t>
      </w:r>
    </w:p>
    <w:p>
      <w:pPr>
        <w:pStyle w:val="ListParagraph"/>
        <w:numPr>
          <w:ilvl w:val="0"/>
          <w:numId w:val="2"/>
        </w:numPr>
        <w:spacing w:after="40" w:before="40"/>
      </w:pPr>
      <w:r>
        <w:rPr>
          <w:rFonts w:ascii="Arial" w:cs="Arial" w:eastAsia="Arial" w:hAnsi="Arial"/>
          <w:color w:val="000000"/>
          <w:sz w:val="22"/>
          <w:szCs w:val="22"/>
        </w:rPr>
        <w:t xml:space="preserve">API rate limiting to prevent denial of service</w:t>
      </w:r>
    </w:p>
    <w:p>
      <w:pPr>
        <w:pStyle w:val="Heading2"/>
        <w:spacing w:after="80" w:before="240"/>
      </w:pPr>
      <w:r>
        <w:rPr>
          <w:rFonts w:ascii="Arial" w:cs="Arial" w:eastAsia="Arial" w:hAnsi="Arial"/>
          <w:b/>
          <w:bCs/>
          <w:color w:val="1E3A5F"/>
          <w:sz w:val="24"/>
          <w:szCs w:val="24"/>
        </w:rPr>
        <w:t xml:space="preserve">Data Minimisation and Retention</w:t>
      </w:r>
    </w:p>
    <w:p>
      <w:pPr>
        <w:pStyle w:val="ListParagraph"/>
        <w:numPr>
          <w:ilvl w:val="0"/>
          <w:numId w:val="2"/>
        </w:numPr>
        <w:spacing w:after="40" w:before="40"/>
      </w:pPr>
      <w:r>
        <w:rPr>
          <w:rFonts w:ascii="Arial" w:cs="Arial" w:eastAsia="Arial" w:hAnsi="Arial"/>
          <w:color w:val="000000"/>
          <w:sz w:val="22"/>
          <w:szCs w:val="22"/>
        </w:rPr>
        <w:t xml:space="preserve">Automated data retention system: message content deleted after configured retention period</w:t>
      </w:r>
    </w:p>
    <w:p>
      <w:pPr>
        <w:pStyle w:val="ListParagraph"/>
        <w:numPr>
          <w:ilvl w:val="0"/>
          <w:numId w:val="2"/>
        </w:numPr>
        <w:spacing w:after="40" w:before="40"/>
      </w:pPr>
      <w:r>
        <w:rPr>
          <w:rFonts w:ascii="Arial" w:cs="Arial" w:eastAsia="Arial" w:hAnsi="Arial"/>
          <w:color w:val="000000"/>
          <w:sz w:val="22"/>
          <w:szCs w:val="22"/>
        </w:rPr>
        <w:t xml:space="preserve">Anonymous visitor sessions deleted after 30 days</w:t>
      </w:r>
    </w:p>
    <w:p>
      <w:pPr>
        <w:pStyle w:val="ListParagraph"/>
        <w:numPr>
          <w:ilvl w:val="0"/>
          <w:numId w:val="2"/>
        </w:numPr>
        <w:spacing w:after="40" w:before="40"/>
      </w:pPr>
      <w:r>
        <w:rPr>
          <w:rFonts w:ascii="Arial" w:cs="Arial" w:eastAsia="Arial" w:hAnsi="Arial"/>
          <w:color w:val="000000"/>
          <w:sz w:val="22"/>
          <w:szCs w:val="22"/>
        </w:rPr>
        <w:t xml:space="preserve">Right to erasure enforced through full anonymisation of customer records</w:t>
      </w:r>
    </w:p>
    <w:p>
      <w:pPr>
        <w:pStyle w:val="Heading2"/>
        <w:spacing w:after="80" w:before="240"/>
      </w:pPr>
      <w:r>
        <w:rPr>
          <w:rFonts w:ascii="Arial" w:cs="Arial" w:eastAsia="Arial" w:hAnsi="Arial"/>
          <w:b/>
          <w:bCs/>
          <w:color w:val="1E3A5F"/>
          <w:sz w:val="24"/>
          <w:szCs w:val="24"/>
        </w:rPr>
        <w:t xml:space="preserve">Incident Response</w:t>
      </w:r>
    </w:p>
    <w:p>
      <w:pPr>
        <w:pStyle w:val="ListParagraph"/>
        <w:numPr>
          <w:ilvl w:val="0"/>
          <w:numId w:val="2"/>
        </w:numPr>
        <w:spacing w:after="40" w:before="40"/>
      </w:pPr>
      <w:r>
        <w:rPr>
          <w:rFonts w:ascii="Arial" w:cs="Arial" w:eastAsia="Arial" w:hAnsi="Arial"/>
          <w:color w:val="000000"/>
          <w:sz w:val="22"/>
          <w:szCs w:val="22"/>
        </w:rPr>
        <w:t xml:space="preserve">Breach notification to Controller within 48 hours of confirmed breach</w:t>
      </w:r>
    </w:p>
    <w:p>
      <w:pPr>
        <w:pStyle w:val="ListParagraph"/>
        <w:numPr>
          <w:ilvl w:val="0"/>
          <w:numId w:val="2"/>
        </w:numPr>
        <w:spacing w:after="40" w:before="40"/>
      </w:pPr>
      <w:r>
        <w:rPr>
          <w:rFonts w:ascii="Arial" w:cs="Arial" w:eastAsia="Arial" w:hAnsi="Arial"/>
          <w:color w:val="000000"/>
          <w:sz w:val="22"/>
          <w:szCs w:val="22"/>
        </w:rPr>
        <w:t xml:space="preserve">Documented incident response process</w:t>
      </w:r>
    </w:p>
    <w:p>
      <w:pPr>
        <w:spacing w:after="80" w:before="80"/>
        <w:ind w:left="360"/>
      </w:pPr>
      <w:r>
        <w:rPr>
          <w:rFonts w:ascii="Arial" w:cs="Arial" w:eastAsia="Arial" w:hAnsi="Arial"/>
          <w:i/>
          <w:iCs/>
          <w:color w:val="666666"/>
          <w:sz w:val="20"/>
          <w:szCs w:val="20"/>
        </w:rPr>
        <w:t xml:space="preserve">Attorney note: Review whether additional measures are required for financial services (GLBA Safeguards Rule) or healthcare (HIPAA Security Rule) deployments. Consider adding SOC 2 Type II and penetration testing to this section once completed.</w:t>
      </w:r>
    </w:p>
    <w:p>
      <w:pPr>
        <w:pBdr>
          <w:bottom w:val="single" w:color="CCCCCC" w:sz="4"/>
        </w:pBdr>
        <w:spacing w:after="240" w:before="240"/>
      </w:pPr>
    </w:p>
    <w:p>
      <w:pPr>
        <w:pStyle w:val="Heading1"/>
        <w:spacing w:after="120" w:before="360"/>
      </w:pPr>
      <w:r>
        <w:rPr>
          <w:rFonts w:ascii="Arial" w:cs="Arial" w:eastAsia="Arial" w:hAnsi="Arial"/>
          <w:b/>
          <w:bCs/>
          <w:color w:val="1E3A5F"/>
          <w:sz w:val="28"/>
          <w:szCs w:val="28"/>
        </w:rPr>
        <w:t xml:space="preserve">ANNEX III — List of Authorised Sub-Processors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800"/>
        <w:gridCol w:w="2560"/>
      </w:tblGrid>
      <w:tr>
        <w:tc>
          <w:tcPr>
            <w:tcW w:type="dxa" w:w="22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Sub-Processor</w:t>
            </w:r>
          </w:p>
        </w:tc>
        <w:tc>
          <w:tcPr>
            <w:tcW w:type="dxa" w:w="2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Purpose</w:t>
            </w:r>
          </w:p>
        </w:tc>
        <w:tc>
          <w:tcPr>
            <w:tcW w:type="dxa" w:w="180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Location</w:t>
            </w:r>
          </w:p>
        </w:tc>
        <w:tc>
          <w:tcPr>
            <w:tcW w:type="dxa" w:w="2560"/>
            <w:tcBorders>
              <w:top w:val="single" w:color="CCCCCC" w:sz="1"/>
              <w:left w:val="single" w:color="CCCCCC" w:sz="1"/>
              <w:bottom w:val="single" w:color="CCCCCC" w:sz="1"/>
              <w:right w:val="single" w:color="CCCCCC" w:sz="1"/>
            </w:tcBorders>
            <w:shd w:fill="1E3A5F" w:val="clear"/>
            <w:tcMar>
              <w:top w:type="dxa" w:w="80"/>
              <w:left w:type="dxa" w:w="120"/>
              <w:bottom w:type="dxa" w:w="80"/>
              <w:right w:type="dxa" w:w="120"/>
            </w:tcMar>
          </w:tcPr>
          <w:p>
            <w:r>
              <w:rPr>
                <w:rFonts w:ascii="Arial" w:cs="Arial" w:eastAsia="Arial" w:hAnsi="Arial"/>
                <w:b/>
                <w:bCs/>
                <w:color w:val="FFFFFF"/>
                <w:sz w:val="20"/>
                <w:szCs w:val="20"/>
              </w:rPr>
              <w:t xml:space="preserve">Transfer Safeguard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Anthropic,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AI language model (Claude API) — processes conversation messages to generate responses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Standard Contractual Clauses (SCCs) — Module 3</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Stripe,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Payment processing and subscription management</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SCCs / Stripe's EU-US DPF certification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sz w:val="20"/>
                <w:szCs w:val="20"/>
              </w:rPr>
              <w:t xml:space="preserve">Cloudflare, Inc.</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CDN, network security, tunnel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United States (global PoPs)</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SCCs / EU-US Data Privacy Framework</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[SMTP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Transactional email delivery</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[TRANSFER MECHANISM]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[HOSTING PROVIDER]</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Server/database infrastructure</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[LOCATION]</w:t>
            </w:r>
          </w:p>
        </w:tc>
        <w:tc>
          <w:tcPr>
            <w:tcW w:type="dxa" w:w="2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[ADEQUACY / SCCs]</w:t>
            </w:r>
          </w:p>
        </w:tc>
      </w:tr>
    </w:tbl>
    <w:p>
      <w:pPr>
        <w:spacing w:after="80" w:before="80"/>
        <w:ind w:left="360"/>
      </w:pPr>
      <w:r>
        <w:rPr>
          <w:rFonts w:ascii="Arial" w:cs="Arial" w:eastAsia="Arial" w:hAnsi="Arial"/>
          <w:i/>
          <w:iCs/>
          <w:color w:val="666666"/>
          <w:sz w:val="20"/>
          <w:szCs w:val="20"/>
        </w:rPr>
        <w:t xml:space="preserve">Attorney note: Complete the highlighted rows. Confirm SCCs with Anthropic are executed. Review Anthropic's DPA at anthropic.com/legal/dpa. Verify Stripe and Cloudflare's current EU data transfer certifications. This list must be kept current — any new sub-processor requires Controller notification and 14 days' notice per Clause 6.2.</w:t>
      </w:r>
    </w:p>
    <w:p>
      <w:pPr>
        <w:pBdr>
          <w:bottom w:val="single" w:color="CCCCCC" w:sz="4"/>
        </w:pBdr>
        <w:spacing w:after="240" w:before="240"/>
      </w:pPr>
    </w:p>
    <w:p>
      <w:pPr>
        <w:spacing w:after="80" w:before="240"/>
      </w:pPr>
      <w:r>
        <w:rPr>
          <w:rFonts w:ascii="Arial" w:cs="Arial" w:eastAsia="Arial" w:hAnsi="Arial"/>
          <w:i/>
          <w:iCs/>
          <w:color w:val="666666"/>
          <w:sz w:val="18"/>
          <w:szCs w:val="18"/>
        </w:rPr>
        <w:t xml:space="preserve">This document was prepared for attorney review. It does not constitute legal advice.</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pBdr>
      <w:tabs>
        <w:tab w:val="right" w:pos="9360"/>
      </w:tabs>
    </w:pPr>
    <w:r>
      <w:rPr>
        <w:rFonts w:ascii="Arial" w:cs="Arial" w:eastAsia="Arial" w:hAnsi="Arial"/>
        <w:color w:val="666666"/>
        <w:sz w:val="16"/>
        <w:szCs w:val="16"/>
      </w:rPr>
      <w:t xml:space="preserve">Ponten Solutions — Nomii AI  |  pontensolutions.com</w:t>
    </w:r>
    <w:r>
      <w:rPr>
        <w:rFonts w:ascii="Arial" w:cs="Arial" w:eastAsia="Arial" w:hAnsi="Arial"/>
        <w:color w:val="666666"/>
        <w:sz w:val="16"/>
        <w:szCs w:val="16"/>
      </w:rPr>
      <w:t xml:space="preserve">	Page </w:t>
    </w:r>
    <w:r>
      <w:rPr>
        <w:rFonts w:ascii="Arial" w:cs="Arial" w:eastAsia="Arial" w:hAnsi="Arial"/>
        <w:color w:val="66666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E3A5F" w:sz="6"/>
      </w:pBdr>
      <w:tabs>
        <w:tab w:val="right" w:pos="9360"/>
      </w:tabs>
    </w:pPr>
    <w:r>
      <w:rPr>
        <w:rFonts w:ascii="Arial" w:cs="Arial" w:eastAsia="Arial" w:hAnsi="Arial"/>
        <w:b/>
        <w:bCs/>
        <w:color w:val="1E3A5F"/>
        <w:sz w:val="18"/>
        <w:szCs w:val="18"/>
      </w:rPr>
      <w:t xml:space="preserve">Nomii AI — Data Processing Agreement</w:t>
    </w:r>
    <w:r>
      <w:rPr>
        <w:rFonts w:ascii="Arial" w:cs="Arial" w:eastAsia="Arial" w:hAnsi="Arial"/>
        <w:color w:val="666666"/>
        <w:sz w:val="16"/>
        <w:szCs w:val="16"/>
      </w:rPr>
      <w:t xml:space="preserve">	CONFIDENTIAL — FOR LEGAL REVIEW</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60"/>
      <w:outlineLvl w:val="0"/>
    </w:pPr>
    <w:rPr>
      <w:rFonts w:ascii="Arial" w:cs="Arial" w:eastAsia="Arial" w:hAnsi="Arial"/>
      <w:b/>
      <w:bCs/>
      <w:color w:val="1E3A5F"/>
      <w:sz w:val="28"/>
      <w:szCs w:val="28"/>
    </w:rPr>
  </w:style>
  <w:style w:type="paragraph" w:styleId="Heading2">
    <w:name w:val="Heading 2"/>
    <w:basedOn w:val="Normal"/>
    <w:next w:val="Normal"/>
    <w:qFormat/>
    <w:pPr>
      <w:spacing w:after="80" w:before="240"/>
      <w:outlineLvl w:val="1"/>
    </w:pPr>
    <w:rPr>
      <w:rFonts w:ascii="Arial" w:cs="Arial" w:eastAsia="Arial" w:hAnsi="Arial"/>
      <w:b/>
      <w:bCs/>
      <w:color w:val="1E3A5F"/>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2026-03-26T09:55:19.565Z</dcterms:created>
  <dcterms:modified xsi:type="dcterms:W3CDTF">2026-03-26T09:55:19.565Z</dcterms:modified>
</cp:coreProperties>
</file>

<file path=docProps/custom.xml><?xml version="1.0" encoding="utf-8"?>
<Properties xmlns="http://schemas.openxmlformats.org/officeDocument/2006/custom-properties" xmlns:vt="http://schemas.openxmlformats.org/officeDocument/2006/docPropsVTypes"/>
</file>