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E3A5F"/>
          <w:sz w:val="52"/>
          <w:szCs w:val="52"/>
        </w:rPr>
        <w:t xml:space="preserve">PRIVACY POLICY</w:t>
      </w:r>
    </w:p>
    <w:p>
      <w:pPr>
        <w:spacing w:after="80" w:before="0"/>
      </w:pPr>
      <w:r>
        <w:rPr>
          <w:rFonts w:ascii="Arial" w:cs="Arial" w:eastAsia="Arial" w:hAnsi="Arial"/>
          <w:color w:val="666666"/>
          <w:sz w:val="28"/>
          <w:szCs w:val="28"/>
        </w:rPr>
        <w:t xml:space="preserve">Nomii AI — Powered by Ponten Solutions</w:t>
      </w:r>
    </w:p>
    <w:p>
      <w:pPr>
        <w:spacing w:after="60" w:before="0"/>
      </w:pPr>
      <w:r>
        <w:rPr>
          <w:rFonts w:ascii="Arial" w:cs="Arial" w:eastAsia="Arial" w:hAnsi="Arial"/>
          <w:b/>
          <w:bCs/>
          <w:color w:val="000000"/>
          <w:sz w:val="22"/>
          <w:szCs w:val="22"/>
        </w:rPr>
        <w:t xml:space="preserve">Effective Date: </w:t>
      </w:r>
      <w:r>
        <w:rPr>
          <w:rFonts w:ascii="Arial" w:cs="Arial" w:eastAsia="Arial" w:hAnsi="Arial"/>
          <w:b/>
          <w:bCs/>
          <w:color w:val="D45B00"/>
          <w:sz w:val="22"/>
          <w:szCs w:val="22"/>
        </w:rPr>
        <w:t xml:space="preserve">[EFFECTIVE DATE]</w:t>
      </w:r>
      <w:r>
        <w:rPr>
          <w:rFonts w:ascii="Arial" w:cs="Arial" w:eastAsia="Arial" w:hAnsi="Arial"/>
          <w:b/>
          <w:bCs/>
          <w:color w:val="000000"/>
          <w:sz w:val="22"/>
          <w:szCs w:val="22"/>
        </w:rPr>
        <w:t xml:space="preserve">     |     Last Updated: </w:t>
      </w:r>
      <w:r>
        <w:rPr>
          <w:rFonts w:ascii="Arial" w:cs="Arial" w:eastAsia="Arial" w:hAnsi="Arial"/>
          <w:b/>
          <w:bCs/>
          <w:color w:val="D45B00"/>
          <w:sz w:val="22"/>
          <w:szCs w:val="22"/>
        </w:rPr>
        <w:t xml:space="preserve">[LAST UPDATED DATE]</w:t>
      </w:r>
    </w:p>
    <w:p>
      <w:pPr>
        <w:spacing w:after="480" w:before="0"/>
      </w:pPr>
      <w:r>
        <w:rPr>
          <w:rFonts w:ascii="Arial" w:cs="Arial" w:eastAsia="Arial" w:hAnsi="Arial"/>
          <w:b/>
          <w:bCs/>
          <w:color w:val="000000"/>
          <w:sz w:val="22"/>
          <w:szCs w:val="22"/>
        </w:rPr>
        <w:t xml:space="preserve">Version: </w:t>
      </w:r>
      <w:r>
        <w:rPr>
          <w:rFonts w:ascii="Arial" w:cs="Arial" w:eastAsia="Arial" w:hAnsi="Arial"/>
          <w:b/>
          <w:bCs/>
          <w:color w:val="D45B00"/>
          <w:sz w:val="22"/>
          <w:szCs w:val="22"/>
        </w:rPr>
        <w:t xml:space="preserve">[VERSION NUMBER e.g.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60"/>
              <w:left w:type="dxa" w:w="240"/>
              <w:bottom w:type="dxa" w:w="160"/>
              <w:right w:type="dxa" w:w="240"/>
            </w:tcMar>
          </w:tcPr>
          <w:p>
            <w:r>
              <w:rPr>
                <w:rFonts w:ascii="Arial" w:cs="Arial" w:eastAsia="Arial" w:hAnsi="Arial"/>
                <w:b/>
                <w:bCs/>
                <w:color w:val="7B4A00"/>
                <w:sz w:val="22"/>
                <w:szCs w:val="22"/>
              </w:rPr>
              <w:t xml:space="preserve">ATTORNEY REVIEW NOTICE</w:t>
            </w:r>
          </w:p>
          <w:p>
            <w:pPr>
              <w:spacing w:after="0" w:before="60"/>
            </w:pPr>
            <w:r>
              <w:rPr>
                <w:rFonts w:ascii="Arial" w:cs="Arial" w:eastAsia="Arial" w:hAnsi="Arial"/>
                <w:color w:val="7B4A00"/>
                <w:sz w:val="20"/>
                <w:szCs w:val="20"/>
              </w:rPr>
              <w:t xml:space="preserve">This document was drafted by AI and requires review by a qualified privacy attorney before publication. Fields marked in orange [LIKE THIS] must be completed. Provisions marked with * may require adjustment based on your specific jurisdiction, business model, and legal counsel.</w:t>
            </w:r>
          </w:p>
        </w:tc>
      </w:tr>
    </w:tbl>
    <w:p>
      <w:pPr>
        <w:spacing w:after="0" w:before="360"/>
      </w:pPr>
    </w:p>
    <w:p>
      <w:pPr>
        <w:pStyle w:val="Heading1"/>
        <w:spacing w:after="120" w:before="360"/>
      </w:pPr>
      <w:r>
        <w:rPr>
          <w:rFonts w:ascii="Arial" w:cs="Arial" w:eastAsia="Arial" w:hAnsi="Arial"/>
          <w:b/>
          <w:bCs/>
          <w:color w:val="1E3A5F"/>
          <w:sz w:val="28"/>
          <w:szCs w:val="28"/>
        </w:rPr>
        <w:t xml:space="preserve">1. Introduction and Who We Are</w:t>
      </w:r>
    </w:p>
    <w:p>
      <w:pPr>
        <w:spacing w:after="100" w:before="80"/>
      </w:pPr>
      <w:r>
        <w:rPr>
          <w:rFonts w:ascii="Arial" w:cs="Arial" w:eastAsia="Arial" w:hAnsi="Arial"/>
          <w:color w:val="000000"/>
          <w:sz w:val="22"/>
          <w:szCs w:val="22"/>
        </w:rPr>
        <w:t xml:space="preserve">This Privacy Policy explains how Ponten Solutions (operating as "Nomii AI", "we", "us", or "our") collects, uses, stores, and shares personal information when you use the Nomii AI platform, including our web application, embedded chat widget, and associated services (collectively, the "Service").</w:t>
      </w:r>
    </w:p>
    <w:p>
      <w:pPr>
        <w:spacing w:after="80" w:before="100"/>
      </w:pPr>
      <w:r>
        <w:rPr>
          <w:rFonts w:ascii="Arial" w:cs="Arial" w:eastAsia="Arial" w:hAnsi="Arial"/>
          <w:b/>
          <w:bCs/>
          <w:sz w:val="22"/>
          <w:szCs w:val="22"/>
        </w:rPr>
        <w:t xml:space="preserve">Data Controller / Business: </w:t>
      </w:r>
      <w:r>
        <w:rPr>
          <w:rFonts w:ascii="Arial" w:cs="Arial" w:eastAsia="Arial" w:hAnsi="Arial"/>
          <w:b/>
          <w:bCs/>
          <w:color w:val="D45B00"/>
          <w:sz w:val="22"/>
          <w:szCs w:val="22"/>
        </w:rPr>
        <w:t xml:space="preserve">[LEGAL COMPANY NAME]</w:t>
      </w:r>
      <w:r>
        <w:rPr>
          <w:rFonts w:ascii="Arial" w:cs="Arial" w:eastAsia="Arial" w:hAnsi="Arial"/>
          <w:sz w:val="22"/>
          <w:szCs w:val="22"/>
        </w:rPr>
        <w:t xml:space="preserve"> (trading as Nomii AI)</w:t>
      </w:r>
    </w:p>
    <w:p>
      <w:pPr>
        <w:spacing w:after="100" w:before="80"/>
      </w:pPr>
      <w:r>
        <w:rPr>
          <w:rFonts w:ascii="Arial" w:cs="Arial" w:eastAsia="Arial" w:hAnsi="Arial"/>
          <w:b/>
          <w:bCs/>
          <w:color w:val="000000"/>
          <w:sz w:val="22"/>
          <w:szCs w:val="22"/>
        </w:rPr>
        <w:t xml:space="preserve">Registered Address: </w:t>
      </w:r>
      <w:r>
        <w:rPr>
          <w:rFonts w:ascii="Arial" w:cs="Arial" w:eastAsia="Arial" w:hAnsi="Arial"/>
          <w:color w:val="000000"/>
          <w:sz w:val="22"/>
          <w:szCs w:val="22"/>
        </w:rPr>
        <w:t xml:space="preserve"/>
      </w:r>
    </w:p>
    <w:p>
      <w:pPr>
        <w:spacing w:after="80" w:before="80"/>
        <w:ind w:left="360"/>
      </w:pPr>
      <w:r>
        <w:rPr>
          <w:rFonts w:ascii="Arial" w:cs="Arial" w:eastAsia="Arial" w:hAnsi="Arial"/>
          <w:i/>
          <w:iCs/>
          <w:color w:val="666666"/>
          <w:sz w:val="20"/>
          <w:szCs w:val="20"/>
        </w:rPr>
        <w:t xml:space="preserve">Insert full registered address</w:t>
      </w:r>
    </w:p>
    <w:p>
      <w:pPr>
        <w:spacing w:after="100" w:before="80"/>
      </w:pPr>
      <w:r>
        <w:rPr>
          <w:rFonts w:ascii="Arial" w:cs="Arial" w:eastAsia="Arial" w:hAnsi="Arial"/>
          <w:b/>
          <w:bCs/>
          <w:color w:val="000000"/>
          <w:sz w:val="22"/>
          <w:szCs w:val="22"/>
        </w:rPr>
        <w:t xml:space="preserve">Company Registration Number: </w:t>
      </w:r>
      <w:r>
        <w:rPr>
          <w:rFonts w:ascii="Arial" w:cs="Arial" w:eastAsia="Arial" w:hAnsi="Arial"/>
          <w:color w:val="000000"/>
          <w:sz w:val="22"/>
          <w:szCs w:val="22"/>
        </w:rPr>
        <w:t xml:space="preserve"/>
      </w:r>
    </w:p>
    <w:p>
      <w:pPr>
        <w:spacing w:after="80" w:before="80"/>
        <w:ind w:left="360"/>
      </w:pPr>
      <w:r>
        <w:rPr>
          <w:rFonts w:ascii="Arial" w:cs="Arial" w:eastAsia="Arial" w:hAnsi="Arial"/>
          <w:i/>
          <w:iCs/>
          <w:color w:val="666666"/>
          <w:sz w:val="20"/>
          <w:szCs w:val="20"/>
        </w:rPr>
        <w:t xml:space="preserve">Insert company/business registration number</w:t>
      </w:r>
    </w:p>
    <w:p>
      <w:pPr>
        <w:spacing w:after="100" w:before="80"/>
      </w:pPr>
      <w:r>
        <w:rPr>
          <w:rFonts w:ascii="Arial" w:cs="Arial" w:eastAsia="Arial" w:hAnsi="Arial"/>
          <w:b/>
          <w:bCs/>
          <w:color w:val="000000"/>
          <w:sz w:val="22"/>
          <w:szCs w:val="22"/>
        </w:rPr>
        <w:t xml:space="preserve">Data Protection Officer (if required): </w:t>
      </w:r>
      <w:r>
        <w:rPr>
          <w:rFonts w:ascii="Arial" w:cs="Arial" w:eastAsia="Arial" w:hAnsi="Arial"/>
          <w:color w:val="000000"/>
          <w:sz w:val="22"/>
          <w:szCs w:val="22"/>
        </w:rPr>
        <w:t xml:space="preserve"/>
      </w:r>
    </w:p>
    <w:p>
      <w:pPr>
        <w:spacing w:after="80" w:before="80"/>
        <w:ind w:left="360"/>
      </w:pPr>
      <w:r>
        <w:rPr>
          <w:rFonts w:ascii="Arial" w:cs="Arial" w:eastAsia="Arial" w:hAnsi="Arial"/>
          <w:i/>
          <w:iCs/>
          <w:color w:val="666666"/>
          <w:sz w:val="20"/>
          <w:szCs w:val="20"/>
        </w:rPr>
        <w:t xml:space="preserve">Insert DPO name and contact email, or state 'Not applicable — [reason]'</w:t>
      </w:r>
    </w:p>
    <w:p>
      <w:pPr>
        <w:spacing w:after="100" w:before="80"/>
      </w:pPr>
      <w:r>
        <w:rPr>
          <w:rFonts w:ascii="Arial" w:cs="Arial" w:eastAsia="Arial" w:hAnsi="Arial"/>
          <w:b/>
          <w:bCs/>
          <w:color w:val="000000"/>
          <w:sz w:val="22"/>
          <w:szCs w:val="22"/>
        </w:rPr>
        <w:t xml:space="preserve">Privacy Contact Email: </w:t>
      </w:r>
      <w:r>
        <w:rPr>
          <w:rFonts w:ascii="Arial" w:cs="Arial" w:eastAsia="Arial" w:hAnsi="Arial"/>
          <w:color w:val="000000"/>
          <w:sz w:val="22"/>
          <w:szCs w:val="22"/>
        </w:rPr>
        <w:t xml:space="preserve"/>
      </w:r>
    </w:p>
    <w:p>
      <w:pPr>
        <w:spacing w:after="80" w:before="80"/>
        <w:ind w:left="360"/>
      </w:pPr>
      <w:r>
        <w:rPr>
          <w:rFonts w:ascii="Arial" w:cs="Arial" w:eastAsia="Arial" w:hAnsi="Arial"/>
          <w:i/>
          <w:iCs/>
          <w:color w:val="666666"/>
          <w:sz w:val="20"/>
          <w:szCs w:val="20"/>
        </w:rPr>
        <w:t xml:space="preserve">Insert dedicated privacy contact email, e.g. privacy@pontensolutions.com</w:t>
      </w:r>
    </w:p>
    <w:p>
      <w:pPr>
        <w:spacing w:after="100" w:before="80"/>
      </w:pPr>
      <w:r>
        <w:rPr>
          <w:rFonts w:ascii="Arial" w:cs="Arial" w:eastAsia="Arial" w:hAnsi="Arial"/>
          <w:color w:val="000000"/>
          <w:sz w:val="22"/>
          <w:szCs w:val="22"/>
        </w:rPr>
        <w:t xml:space="preserve">If you have questions about this Privacy Policy or wish to exercise your data rights, please contact us using the details above.</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2. Scope and Who This Policy Applies To</w:t>
      </w:r>
    </w:p>
    <w:p>
      <w:pPr>
        <w:spacing w:after="100" w:before="80"/>
      </w:pPr>
      <w:r>
        <w:rPr>
          <w:rFonts w:ascii="Arial" w:cs="Arial" w:eastAsia="Arial" w:hAnsi="Arial"/>
          <w:color w:val="000000"/>
          <w:sz w:val="22"/>
          <w:szCs w:val="22"/>
        </w:rPr>
        <w:t xml:space="preserve">This Privacy Policy applies to:</w:t>
      </w:r>
    </w:p>
    <w:p>
      <w:pPr>
        <w:pStyle w:val="ListParagraph"/>
        <w:numPr>
          <w:ilvl w:val="0"/>
          <w:numId w:val="2"/>
        </w:numPr>
        <w:spacing w:after="40" w:before="40"/>
      </w:pPr>
      <w:r>
        <w:rPr>
          <w:rFonts w:ascii="Arial" w:cs="Arial" w:eastAsia="Arial" w:hAnsi="Arial"/>
          <w:color w:val="000000"/>
          <w:sz w:val="22"/>
          <w:szCs w:val="22"/>
        </w:rPr>
        <w:t xml:space="preserve">End customers of businesses using the Nomii AI platform (individuals who interact with an AI agent embedded on a business's website or application)</w:t>
      </w:r>
    </w:p>
    <w:p>
      <w:pPr>
        <w:pStyle w:val="ListParagraph"/>
        <w:numPr>
          <w:ilvl w:val="0"/>
          <w:numId w:val="2"/>
        </w:numPr>
        <w:spacing w:after="40" w:before="40"/>
      </w:pPr>
      <w:r>
        <w:rPr>
          <w:rFonts w:ascii="Arial" w:cs="Arial" w:eastAsia="Arial" w:hAnsi="Arial"/>
          <w:color w:val="000000"/>
          <w:sz w:val="22"/>
          <w:szCs w:val="22"/>
        </w:rPr>
        <w:t xml:space="preserve">Tenant users — advisors, administrators, and employees of businesses ("Tenants") who use the Nomii AI portal to manage their AI agent deployment</w:t>
      </w:r>
    </w:p>
    <w:p>
      <w:pPr>
        <w:pStyle w:val="ListParagraph"/>
        <w:numPr>
          <w:ilvl w:val="0"/>
          <w:numId w:val="2"/>
        </w:numPr>
        <w:spacing w:after="40" w:before="40"/>
      </w:pPr>
      <w:r>
        <w:rPr>
          <w:rFonts w:ascii="Arial" w:cs="Arial" w:eastAsia="Arial" w:hAnsi="Arial"/>
          <w:color w:val="000000"/>
          <w:sz w:val="22"/>
          <w:szCs w:val="22"/>
        </w:rPr>
        <w:t xml:space="preserve">Visitors to pontensolutions.com</w:t>
      </w:r>
    </w:p>
    <w:p>
      <w:pPr>
        <w:spacing w:after="100" w:before="80"/>
      </w:pPr>
      <w:r>
        <w:rPr>
          <w:rFonts w:ascii="Arial" w:cs="Arial" w:eastAsia="Arial" w:hAnsi="Arial"/>
          <w:color w:val="000000"/>
          <w:sz w:val="22"/>
          <w:szCs w:val="22"/>
        </w:rPr>
        <w:t xml:space="preserve">If you are an employee or contractor of a Tenant business accessing the Nomii AI portal, your employer's privacy policy may also apply. In that context, your employer is the data controller for their customer data, and Nomii AI acts as a data processor on their behalf (see Section 10).</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3. Personal Data We Collect</w:t>
      </w:r>
    </w:p>
    <w:p>
      <w:pPr>
        <w:pStyle w:val="Heading2"/>
        <w:spacing w:after="80" w:before="240"/>
      </w:pPr>
      <w:r>
        <w:rPr>
          <w:rFonts w:ascii="Arial" w:cs="Arial" w:eastAsia="Arial" w:hAnsi="Arial"/>
          <w:b/>
          <w:bCs/>
          <w:color w:val="1E3A5F"/>
          <w:sz w:val="24"/>
          <w:szCs w:val="24"/>
        </w:rPr>
        <w:t xml:space="preserve">3.1 End Customer Data (collected through the chat widget)</w:t>
      </w:r>
    </w:p>
    <w:p>
      <w:pPr>
        <w:spacing w:after="100" w:before="80"/>
      </w:pPr>
      <w:r>
        <w:rPr>
          <w:rFonts w:ascii="Arial" w:cs="Arial" w:eastAsia="Arial" w:hAnsi="Arial"/>
          <w:color w:val="000000"/>
          <w:sz w:val="22"/>
          <w:szCs w:val="22"/>
        </w:rPr>
        <w:t xml:space="preserve">When an individual interacts with an AI agent powered by Nomii AI, we may collect:</w:t>
      </w:r>
    </w:p>
    <w:p>
      <w:pPr>
        <w:pStyle w:val="ListParagraph"/>
        <w:numPr>
          <w:ilvl w:val="0"/>
          <w:numId w:val="2"/>
        </w:numPr>
        <w:spacing w:after="40" w:before="40"/>
      </w:pPr>
      <w:r>
        <w:rPr>
          <w:rFonts w:ascii="Arial" w:cs="Arial" w:eastAsia="Arial" w:hAnsi="Arial"/>
          <w:color w:val="000000"/>
          <w:sz w:val="22"/>
          <w:szCs w:val="22"/>
        </w:rPr>
        <w:t xml:space="preserve">Identity data: first name, last name, email address, phone number, date of birth, location</w:t>
      </w:r>
    </w:p>
    <w:p>
      <w:pPr>
        <w:pStyle w:val="ListParagraph"/>
        <w:numPr>
          <w:ilvl w:val="0"/>
          <w:numId w:val="2"/>
        </w:numPr>
        <w:spacing w:after="40" w:before="40"/>
      </w:pPr>
      <w:r>
        <w:rPr>
          <w:rFonts w:ascii="Arial" w:cs="Arial" w:eastAsia="Arial" w:hAnsi="Arial"/>
          <w:color w:val="000000"/>
          <w:sz w:val="22"/>
          <w:szCs w:val="22"/>
        </w:rPr>
        <w:t xml:space="preserve">Conversation data: all messages exchanged with the AI agent, including questions, answers, and any personal details shared during conversation</w:t>
      </w:r>
    </w:p>
    <w:p>
      <w:pPr>
        <w:pStyle w:val="ListParagraph"/>
        <w:numPr>
          <w:ilvl w:val="0"/>
          <w:numId w:val="2"/>
        </w:numPr>
        <w:spacing w:after="40" w:before="40"/>
      </w:pPr>
      <w:r>
        <w:rPr>
          <w:rFonts w:ascii="Arial" w:cs="Arial" w:eastAsia="Arial" w:hAnsi="Arial"/>
          <w:color w:val="000000"/>
          <w:sz w:val="22"/>
          <w:szCs w:val="22"/>
        </w:rPr>
        <w:t xml:space="preserve">AI memory data: structured information the AI extracts during conversations — including personal profile, goals, concerns, life plans, financial information, and health information (where relevant to the service)</w:t>
      </w:r>
    </w:p>
    <w:p>
      <w:pPr>
        <w:pStyle w:val="ListParagraph"/>
        <w:numPr>
          <w:ilvl w:val="0"/>
          <w:numId w:val="2"/>
        </w:numPr>
        <w:spacing w:after="40" w:before="40"/>
      </w:pPr>
      <w:r>
        <w:rPr>
          <w:rFonts w:ascii="Arial" w:cs="Arial" w:eastAsia="Arial" w:hAnsi="Arial"/>
          <w:color w:val="000000"/>
          <w:sz w:val="22"/>
          <w:szCs w:val="22"/>
        </w:rPr>
        <w:t xml:space="preserve">Communication preferences: how the individual prefers to communicate, agent nicknames</w:t>
      </w:r>
    </w:p>
    <w:p>
      <w:pPr>
        <w:pStyle w:val="ListParagraph"/>
        <w:numPr>
          <w:ilvl w:val="0"/>
          <w:numId w:val="2"/>
        </w:numPr>
        <w:spacing w:after="40" w:before="40"/>
      </w:pPr>
      <w:r>
        <w:rPr>
          <w:rFonts w:ascii="Arial" w:cs="Arial" w:eastAsia="Arial" w:hAnsi="Arial"/>
          <w:color w:val="000000"/>
          <w:sz w:val="22"/>
          <w:szCs w:val="22"/>
        </w:rPr>
        <w:t xml:space="preserve">Technical data: IP address at time of consent, session timestamps, browser information</w:t>
      </w:r>
    </w:p>
    <w:p>
      <w:pPr>
        <w:pStyle w:val="ListParagraph"/>
        <w:numPr>
          <w:ilvl w:val="0"/>
          <w:numId w:val="2"/>
        </w:numPr>
        <w:spacing w:after="40" w:before="40"/>
      </w:pPr>
      <w:r>
        <w:rPr>
          <w:rFonts w:ascii="Arial" w:cs="Arial" w:eastAsia="Arial" w:hAnsi="Arial"/>
          <w:color w:val="000000"/>
          <w:sz w:val="22"/>
          <w:szCs w:val="22"/>
        </w:rPr>
        <w:t xml:space="preserve">Consent records: timestamp and IP address when consent was provided</w:t>
      </w:r>
    </w:p>
    <w:p>
      <w:pPr>
        <w:spacing w:after="100" w:before="80"/>
      </w:pPr>
      <w:r>
        <w:rPr>
          <w:rFonts w:ascii="Arial" w:cs="Arial" w:eastAsia="Arial" w:hAnsi="Arial"/>
          <w:color w:val="000000"/>
          <w:sz w:val="22"/>
          <w:szCs w:val="22"/>
        </w:rPr>
        <w:t xml:space="preserve">Some Tenants may also provide us with customer data uploaded via CSV import or API integration, which may include additional fields depending on the Tenant's business.</w:t>
      </w:r>
    </w:p>
    <w:p>
      <w:pPr>
        <w:pStyle w:val="Heading2"/>
        <w:spacing w:after="80" w:before="240"/>
      </w:pPr>
      <w:r>
        <w:rPr>
          <w:rFonts w:ascii="Arial" w:cs="Arial" w:eastAsia="Arial" w:hAnsi="Arial"/>
          <w:b/>
          <w:bCs/>
          <w:color w:val="1E3A5F"/>
          <w:sz w:val="24"/>
          <w:szCs w:val="24"/>
        </w:rPr>
        <w:t xml:space="preserve">3.2 Tenant User Data (collected through the portal)</w:t>
      </w:r>
    </w:p>
    <w:p>
      <w:pPr>
        <w:spacing w:after="100" w:before="80"/>
      </w:pPr>
      <w:r>
        <w:rPr>
          <w:rFonts w:ascii="Arial" w:cs="Arial" w:eastAsia="Arial" w:hAnsi="Arial"/>
          <w:color w:val="000000"/>
          <w:sz w:val="22"/>
          <w:szCs w:val="22"/>
        </w:rPr>
        <w:t xml:space="preserve">When advisors or administrators use the Nomii AI portal, we collect:</w:t>
      </w:r>
    </w:p>
    <w:p>
      <w:pPr>
        <w:pStyle w:val="ListParagraph"/>
        <w:numPr>
          <w:ilvl w:val="0"/>
          <w:numId w:val="2"/>
        </w:numPr>
        <w:spacing w:after="40" w:before="40"/>
      </w:pPr>
      <w:r>
        <w:rPr>
          <w:rFonts w:ascii="Arial" w:cs="Arial" w:eastAsia="Arial" w:hAnsi="Arial"/>
          <w:color w:val="000000"/>
          <w:sz w:val="22"/>
          <w:szCs w:val="22"/>
        </w:rPr>
        <w:t xml:space="preserve">Account data: name, email address, role, password (hashed — never stored in plaintext)</w:t>
      </w:r>
    </w:p>
    <w:p>
      <w:pPr>
        <w:pStyle w:val="ListParagraph"/>
        <w:numPr>
          <w:ilvl w:val="0"/>
          <w:numId w:val="2"/>
        </w:numPr>
        <w:spacing w:after="40" w:before="40"/>
      </w:pPr>
      <w:r>
        <w:rPr>
          <w:rFonts w:ascii="Arial" w:cs="Arial" w:eastAsia="Arial" w:hAnsi="Arial"/>
          <w:color w:val="000000"/>
          <w:sz w:val="22"/>
          <w:szCs w:val="22"/>
        </w:rPr>
        <w:t xml:space="preserve">Authentication data: login timestamps, IP addresses, session tokens</w:t>
      </w:r>
    </w:p>
    <w:p>
      <w:pPr>
        <w:pStyle w:val="ListParagraph"/>
        <w:numPr>
          <w:ilvl w:val="0"/>
          <w:numId w:val="2"/>
        </w:numPr>
        <w:spacing w:after="40" w:before="40"/>
      </w:pPr>
      <w:r>
        <w:rPr>
          <w:rFonts w:ascii="Arial" w:cs="Arial" w:eastAsia="Arial" w:hAnsi="Arial"/>
          <w:color w:val="000000"/>
          <w:sz w:val="22"/>
          <w:szCs w:val="22"/>
        </w:rPr>
        <w:t xml:space="preserve">Activity data: actions taken in the portal (customer record accesses, data exports, settings changes) — recorded in our audit log</w:t>
      </w:r>
    </w:p>
    <w:p>
      <w:pPr>
        <w:pStyle w:val="ListParagraph"/>
        <w:numPr>
          <w:ilvl w:val="0"/>
          <w:numId w:val="2"/>
        </w:numPr>
        <w:spacing w:after="40" w:before="40"/>
      </w:pPr>
      <w:r>
        <w:rPr>
          <w:rFonts w:ascii="Arial" w:cs="Arial" w:eastAsia="Arial" w:hAnsi="Arial"/>
          <w:color w:val="000000"/>
          <w:sz w:val="22"/>
          <w:szCs w:val="22"/>
        </w:rPr>
        <w:t xml:space="preserve">Business data: company name, website, logo, AI agent configuration, subscription details</w:t>
      </w:r>
    </w:p>
    <w:p>
      <w:pPr>
        <w:pStyle w:val="Heading2"/>
        <w:spacing w:after="80" w:before="240"/>
      </w:pPr>
      <w:r>
        <w:rPr>
          <w:rFonts w:ascii="Arial" w:cs="Arial" w:eastAsia="Arial" w:hAnsi="Arial"/>
          <w:b/>
          <w:bCs/>
          <w:color w:val="1E3A5F"/>
          <w:sz w:val="24"/>
          <w:szCs w:val="24"/>
        </w:rPr>
        <w:t xml:space="preserve">3.3 Data We Do Not Collect</w:t>
      </w:r>
    </w:p>
    <w:p>
      <w:pPr>
        <w:pStyle w:val="ListParagraph"/>
        <w:numPr>
          <w:ilvl w:val="0"/>
          <w:numId w:val="2"/>
        </w:numPr>
        <w:spacing w:after="40" w:before="40"/>
      </w:pPr>
      <w:r>
        <w:rPr>
          <w:rFonts w:ascii="Arial" w:cs="Arial" w:eastAsia="Arial" w:hAnsi="Arial"/>
          <w:color w:val="000000"/>
          <w:sz w:val="22"/>
          <w:szCs w:val="22"/>
        </w:rPr>
        <w:t xml:space="preserve">We do not collect payment card numbers directly — all payments are processed by Stripe, Inc.</w:t>
      </w:r>
    </w:p>
    <w:p>
      <w:pPr>
        <w:pStyle w:val="ListParagraph"/>
        <w:numPr>
          <w:ilvl w:val="0"/>
          <w:numId w:val="2"/>
        </w:numPr>
        <w:spacing w:after="40" w:before="40"/>
      </w:pPr>
      <w:r>
        <w:rPr>
          <w:rFonts w:ascii="Arial" w:cs="Arial" w:eastAsia="Arial" w:hAnsi="Arial"/>
          <w:color w:val="000000"/>
          <w:sz w:val="22"/>
          <w:szCs w:val="22"/>
        </w:rPr>
        <w:t xml:space="preserve">We do not use advertising trackers or sell personal data</w:t>
      </w:r>
    </w:p>
    <w:p>
      <w:pPr>
        <w:pStyle w:val="ListParagraph"/>
        <w:numPr>
          <w:ilvl w:val="0"/>
          <w:numId w:val="2"/>
        </w:numPr>
        <w:spacing w:after="40" w:before="40"/>
      </w:pPr>
      <w:r>
        <w:rPr>
          <w:rFonts w:ascii="Arial" w:cs="Arial" w:eastAsia="Arial" w:hAnsi="Arial"/>
          <w:color w:val="000000"/>
          <w:sz w:val="22"/>
          <w:szCs w:val="22"/>
        </w:rPr>
        <w:t xml:space="preserve">We do not knowingly collect data from children under 16 years of age</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4. How We Use Personal Data and Our Legal Basis</w:t>
      </w:r>
    </w:p>
    <w:p>
      <w:pPr>
        <w:spacing w:after="100" w:before="80"/>
      </w:pPr>
      <w:r>
        <w:rPr>
          <w:rFonts w:ascii="Arial" w:cs="Arial" w:eastAsia="Arial" w:hAnsi="Arial"/>
          <w:color w:val="000000"/>
          <w:sz w:val="22"/>
          <w:szCs w:val="22"/>
        </w:rPr>
        <w:t xml:space="preserve">Under GDPR (Article 6), we rely on the following legal bases for processing:</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Purpose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Basis</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Providing the AI agent chat service to end customers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(Art. 6(1)(b)) / Legitimate Interests (Art. 6(1)(f))</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Building and updating AI memory to personalise the service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Consent (Art. 6(1)(a)) or Contract (Art. 6(1)(b))*</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Authenticating users and securing accounts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 Legitimate Interests</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Audit logging for security and legal compliance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Obligation (Art. 6(1)(c)) / Legitimate Interests</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Sending documents and notifications via 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 Legitimate Interests</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Billing and subscription management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(Art. 6(1)(b))</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Fraud prevention and platform security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Legitimate Interests (Art. 6(1)(f))</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Responding to legal requests or regulatory obligations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Obligation (Art. 6(1)(c))</w:t>
            </w:r>
          </w:p>
        </w:tc>
      </w:tr>
    </w:tbl>
    <w:p>
      <w:pPr>
        <w:spacing w:after="80" w:before="80"/>
        <w:ind w:left="360"/>
      </w:pPr>
      <w:r>
        <w:rPr>
          <w:rFonts w:ascii="Arial" w:cs="Arial" w:eastAsia="Arial" w:hAnsi="Arial"/>
          <w:i/>
          <w:iCs/>
          <w:color w:val="666666"/>
          <w:sz w:val="20"/>
          <w:szCs w:val="20"/>
        </w:rPr>
        <w:t xml:space="preserve">* Lawful basis for AI memory processing depends on the Tenant's service type and how consent is captured. Attorney should confirm the appropriate basis for each deployment context.</w:t>
      </w:r>
    </w:p>
    <w:p>
      <w:pPr>
        <w:spacing w:after="0" w:before="160"/>
      </w:pPr>
    </w:p>
    <w:p>
      <w:pPr>
        <w:spacing w:after="100" w:before="80"/>
      </w:pPr>
      <w:r>
        <w:rPr>
          <w:rFonts w:ascii="Arial" w:cs="Arial" w:eastAsia="Arial" w:hAnsi="Arial"/>
          <w:color w:val="000000"/>
          <w:sz w:val="22"/>
          <w:szCs w:val="22"/>
        </w:rPr>
        <w:t xml:space="preserve">For special category data (GDPR Article 9) — including health, financial, or other sensitive information — that may be shared during AI conversations:</w:t>
      </w:r>
    </w:p>
    <w:p>
      <w:pPr>
        <w:spacing w:after="80" w:before="80"/>
        <w:ind w:left="360"/>
      </w:pPr>
      <w:r>
        <w:rPr>
          <w:rFonts w:ascii="Arial" w:cs="Arial" w:eastAsia="Arial" w:hAnsi="Arial"/>
          <w:i/>
          <w:iCs/>
          <w:color w:val="666666"/>
          <w:sz w:val="20"/>
          <w:szCs w:val="20"/>
        </w:rPr>
        <w:t xml:space="preserve">Attorney note: Identify whether special category data is processed in your deployment context. If so, an explicit consent mechanism or another Article 9(2) basis must be documented and implemented.</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5. Data Retention</w:t>
      </w:r>
    </w:p>
    <w:p>
      <w:pPr>
        <w:spacing w:after="100" w:before="80"/>
      </w:pPr>
      <w:r>
        <w:rPr>
          <w:rFonts w:ascii="Arial" w:cs="Arial" w:eastAsia="Arial" w:hAnsi="Arial"/>
          <w:color w:val="000000"/>
          <w:sz w:val="22"/>
          <w:szCs w:val="22"/>
        </w:rPr>
        <w:t xml:space="preserve">We retain personal data only as long as necessary for the purposes described in this policy, or as required by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Data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Retention Period</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Conversation messages (content)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2 years by default; configurable per Tenant (minimum 90 days)</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Conversation metadata (summary, dates, topics)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 of Tenant's active subscription plus 6 months</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AI memory and profile data (memory_file, soul_file)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 of Tenant's subscription; deleted on erasure request</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Audit logs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years (legal requirement under financial regulation)</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Anonymous visitor sessions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days from last interaction</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Tenant account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 of subscription plus 6 months after termination</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Authentication logs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months</w:t>
            </w:r>
          </w:p>
        </w:tc>
      </w:tr>
    </w:tbl>
    <w:p>
      <w:pPr>
        <w:spacing w:after="100" w:before="80"/>
      </w:pPr>
      <w:r>
        <w:rPr>
          <w:rFonts w:ascii="Arial" w:cs="Arial" w:eastAsia="Arial" w:hAnsi="Arial"/>
          <w:color w:val="000000"/>
          <w:sz w:val="22"/>
          <w:szCs w:val="22"/>
        </w:rPr>
        <w:t xml:space="preserve">When data retention periods expire, message content is automatically deleted by our retention system. Conversation metadata (dates, summaries) may be retained longer for analytics in anonymised form.</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6. Who We Share Data With</w:t>
      </w:r>
    </w:p>
    <w:p>
      <w:pPr>
        <w:spacing w:after="100" w:before="80"/>
      </w:pPr>
      <w:r>
        <w:rPr>
          <w:rFonts w:ascii="Arial" w:cs="Arial" w:eastAsia="Arial" w:hAnsi="Arial"/>
          <w:color w:val="000000"/>
          <w:sz w:val="22"/>
          <w:szCs w:val="22"/>
        </w:rPr>
        <w:t xml:space="preserve">We do not sell personal data. We share data only in the following circumstances:</w:t>
      </w:r>
    </w:p>
    <w:p>
      <w:pPr>
        <w:pStyle w:val="Heading2"/>
        <w:spacing w:after="80" w:before="240"/>
      </w:pPr>
      <w:r>
        <w:rPr>
          <w:rFonts w:ascii="Arial" w:cs="Arial" w:eastAsia="Arial" w:hAnsi="Arial"/>
          <w:b/>
          <w:bCs/>
          <w:color w:val="1E3A5F"/>
          <w:sz w:val="24"/>
          <w:szCs w:val="24"/>
        </w:rPr>
        <w:t xml:space="preserve">6.1 Sub-Processors</w:t>
      </w:r>
    </w:p>
    <w:p>
      <w:pPr>
        <w:spacing w:after="100" w:before="80"/>
      </w:pPr>
      <w:r>
        <w:rPr>
          <w:rFonts w:ascii="Arial" w:cs="Arial" w:eastAsia="Arial" w:hAnsi="Arial"/>
          <w:color w:val="000000"/>
          <w:sz w:val="22"/>
          <w:szCs w:val="22"/>
        </w:rPr>
        <w:t xml:space="preserve">We use the following third-party services to operate our platform. Each sub-processor has been assessed for compliance with applicable privacy laws: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Sub-Processor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Anthropic, Inc.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language model processing</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Stripe, Inc.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processing</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Cloudflare, Inc.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CDN, DDoS protection, tunnel</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defaul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Transactional email delivery</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defaul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infrastructure</w:t>
            </w:r>
          </w:p>
        </w:tc>
      </w:tr>
    </w:tbl>
    <w:p>
      <w:pPr>
        <w:spacing w:after="80" w:before="80"/>
        <w:ind w:left="360"/>
      </w:pPr>
      <w:r>
        <w:rPr>
          <w:rFonts w:ascii="Arial" w:cs="Arial" w:eastAsia="Arial" w:hAnsi="Arial"/>
          <w:i/>
          <w:iCs/>
          <w:color w:val="666666"/>
          <w:sz w:val="20"/>
          <w:szCs w:val="20"/>
        </w:rPr>
        <w:t xml:space="preserve">* Verify Anthropic's current data retention and processing terms at anthropic.com/privacy. Ensure a Data Processing Agreement is signed with Anthropic before processing EU personal data through their API.</w:t>
      </w:r>
    </w:p>
    <w:p>
      <w:pPr>
        <w:spacing w:after="80" w:before="80"/>
        <w:ind w:left="360"/>
      </w:pPr>
      <w:r>
        <w:rPr>
          <w:rFonts w:ascii="Arial" w:cs="Arial" w:eastAsia="Arial" w:hAnsi="Arial"/>
          <w:i/>
          <w:iCs/>
          <w:color w:val="666666"/>
          <w:sz w:val="20"/>
          <w:szCs w:val="20"/>
        </w:rPr>
        <w:t xml:space="preserve">Attorney note: Complete the sub-processor table above. Verify each provider has a current DPA. For EU data transfers to US-based processors, ensure Standard Contractual Clauses (SCCs) or another transfer mechanism is in place.</w:t>
      </w:r>
    </w:p>
    <w:p>
      <w:pPr>
        <w:pStyle w:val="Heading2"/>
        <w:spacing w:after="80" w:before="240"/>
      </w:pPr>
      <w:r>
        <w:rPr>
          <w:rFonts w:ascii="Arial" w:cs="Arial" w:eastAsia="Arial" w:hAnsi="Arial"/>
          <w:b/>
          <w:bCs/>
          <w:color w:val="1E3A5F"/>
          <w:sz w:val="24"/>
          <w:szCs w:val="24"/>
        </w:rPr>
        <w:t xml:space="preserve">6.2 Tenant Businesses</w:t>
      </w:r>
    </w:p>
    <w:p>
      <w:pPr>
        <w:spacing w:after="100" w:before="80"/>
      </w:pPr>
      <w:r>
        <w:rPr>
          <w:rFonts w:ascii="Arial" w:cs="Arial" w:eastAsia="Arial" w:hAnsi="Arial"/>
          <w:color w:val="000000"/>
          <w:sz w:val="22"/>
          <w:szCs w:val="22"/>
        </w:rPr>
        <w:t xml:space="preserve">If you are an end customer of a business using Nomii AI, your data is shared with and managed by that business (the Tenant). The Tenant is responsible for how they use and display your information within their own systems. Please review the Tenant's privacy policy for more information.</w:t>
      </w:r>
    </w:p>
    <w:p>
      <w:pPr>
        <w:pStyle w:val="Heading2"/>
        <w:spacing w:after="80" w:before="240"/>
      </w:pPr>
      <w:r>
        <w:rPr>
          <w:rFonts w:ascii="Arial" w:cs="Arial" w:eastAsia="Arial" w:hAnsi="Arial"/>
          <w:b/>
          <w:bCs/>
          <w:color w:val="1E3A5F"/>
          <w:sz w:val="24"/>
          <w:szCs w:val="24"/>
        </w:rPr>
        <w:t xml:space="preserve">6.3 Legal Requirements</w:t>
      </w:r>
    </w:p>
    <w:p>
      <w:pPr>
        <w:spacing w:after="100" w:before="80"/>
      </w:pPr>
      <w:r>
        <w:rPr>
          <w:rFonts w:ascii="Arial" w:cs="Arial" w:eastAsia="Arial" w:hAnsi="Arial"/>
          <w:color w:val="000000"/>
          <w:sz w:val="22"/>
          <w:szCs w:val="22"/>
        </w:rPr>
        <w:t xml:space="preserve">We may disclose personal data where required by law, court order, or regulatory authority, or where necessary to protect the safety of individuals or the security of our platform.</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7. Data Security</w:t>
      </w:r>
    </w:p>
    <w:p>
      <w:pPr>
        <w:spacing w:after="100" w:before="80"/>
      </w:pPr>
      <w:r>
        <w:rPr>
          <w:rFonts w:ascii="Arial" w:cs="Arial" w:eastAsia="Arial" w:hAnsi="Arial"/>
          <w:color w:val="000000"/>
          <w:sz w:val="22"/>
          <w:szCs w:val="22"/>
        </w:rPr>
        <w:t xml:space="preserve">We implement appropriate technical and organisational measures to protect personal data:</w:t>
      </w:r>
    </w:p>
    <w:p>
      <w:pPr>
        <w:pStyle w:val="ListParagraph"/>
        <w:numPr>
          <w:ilvl w:val="0"/>
          <w:numId w:val="2"/>
        </w:numPr>
        <w:spacing w:after="40" w:before="40"/>
      </w:pPr>
      <w:r>
        <w:rPr>
          <w:rFonts w:ascii="Arial" w:cs="Arial" w:eastAsia="Arial" w:hAnsi="Arial"/>
          <w:color w:val="000000"/>
          <w:sz w:val="22"/>
          <w:szCs w:val="22"/>
        </w:rPr>
        <w:t xml:space="preserve">All data is encrypted in transit using TLS 1.2 or higher</w:t>
      </w:r>
    </w:p>
    <w:p>
      <w:pPr>
        <w:pStyle w:val="ListParagraph"/>
        <w:numPr>
          <w:ilvl w:val="0"/>
          <w:numId w:val="2"/>
        </w:numPr>
        <w:spacing w:after="40" w:before="40"/>
      </w:pPr>
      <w:r>
        <w:rPr>
          <w:rFonts w:ascii="Arial" w:cs="Arial" w:eastAsia="Arial" w:hAnsi="Arial"/>
          <w:color w:val="000000"/>
          <w:sz w:val="22"/>
          <w:szCs w:val="22"/>
        </w:rPr>
        <w:t xml:space="preserve">Sensitive values (API keys, passwords) are encrypted at rest using AES-256-GCM</w:t>
      </w:r>
    </w:p>
    <w:p>
      <w:pPr>
        <w:pStyle w:val="ListParagraph"/>
        <w:numPr>
          <w:ilvl w:val="0"/>
          <w:numId w:val="2"/>
        </w:numPr>
        <w:spacing w:after="40" w:before="40"/>
      </w:pPr>
      <w:r>
        <w:rPr>
          <w:rFonts w:ascii="Arial" w:cs="Arial" w:eastAsia="Arial" w:hAnsi="Arial"/>
          <w:color w:val="000000"/>
          <w:sz w:val="22"/>
          <w:szCs w:val="22"/>
        </w:rPr>
        <w:t xml:space="preserve">Passwords are hashed using bcrypt and never stored in plaintext</w:t>
      </w:r>
    </w:p>
    <w:p>
      <w:pPr>
        <w:pStyle w:val="ListParagraph"/>
        <w:numPr>
          <w:ilvl w:val="0"/>
          <w:numId w:val="2"/>
        </w:numPr>
        <w:spacing w:after="40" w:before="40"/>
      </w:pPr>
      <w:r>
        <w:rPr>
          <w:rFonts w:ascii="Arial" w:cs="Arial" w:eastAsia="Arial" w:hAnsi="Arial"/>
          <w:color w:val="000000"/>
          <w:sz w:val="22"/>
          <w:szCs w:val="22"/>
        </w:rPr>
        <w:t xml:space="preserve">Access to customer data is restricted by role-based access control</w:t>
      </w:r>
    </w:p>
    <w:p>
      <w:pPr>
        <w:pStyle w:val="ListParagraph"/>
        <w:numPr>
          <w:ilvl w:val="0"/>
          <w:numId w:val="2"/>
        </w:numPr>
        <w:spacing w:after="40" w:before="40"/>
      </w:pPr>
      <w:r>
        <w:rPr>
          <w:rFonts w:ascii="Arial" w:cs="Arial" w:eastAsia="Arial" w:hAnsi="Arial"/>
          <w:color w:val="000000"/>
          <w:sz w:val="22"/>
          <w:szCs w:val="22"/>
        </w:rPr>
        <w:t xml:space="preserve">Every access to sensitive data is logged in our audit trail</w:t>
      </w:r>
    </w:p>
    <w:p>
      <w:pPr>
        <w:pStyle w:val="ListParagraph"/>
        <w:numPr>
          <w:ilvl w:val="0"/>
          <w:numId w:val="2"/>
        </w:numPr>
        <w:spacing w:after="40" w:before="40"/>
      </w:pPr>
      <w:r>
        <w:rPr>
          <w:rFonts w:ascii="Arial" w:cs="Arial" w:eastAsia="Arial" w:hAnsi="Arial"/>
          <w:color w:val="000000"/>
          <w:sz w:val="22"/>
          <w:szCs w:val="22"/>
        </w:rPr>
        <w:t xml:space="preserve">Authentication includes brute-force protection and rate limiting</w:t>
      </w:r>
    </w:p>
    <w:p>
      <w:pPr>
        <w:pStyle w:val="ListParagraph"/>
        <w:numPr>
          <w:ilvl w:val="0"/>
          <w:numId w:val="2"/>
        </w:numPr>
        <w:spacing w:after="40" w:before="40"/>
      </w:pPr>
      <w:r>
        <w:rPr>
          <w:rFonts w:ascii="Arial" w:cs="Arial" w:eastAsia="Arial" w:hAnsi="Arial"/>
          <w:color w:val="000000"/>
          <w:sz w:val="22"/>
          <w:szCs w:val="22"/>
        </w:rPr>
        <w:t xml:space="preserve">HTTP security headers are applied on all portal responses</w:t>
      </w:r>
    </w:p>
    <w:p>
      <w:pPr>
        <w:spacing w:after="80" w:before="80"/>
        <w:ind w:left="360"/>
      </w:pPr>
      <w:r>
        <w:rPr>
          <w:rFonts w:ascii="Arial" w:cs="Arial" w:eastAsia="Arial" w:hAnsi="Arial"/>
          <w:i/>
          <w:iCs/>
          <w:color w:val="666666"/>
          <w:sz w:val="20"/>
          <w:szCs w:val="20"/>
        </w:rPr>
        <w:t xml:space="preserve">Attorney note: Review whether additional measures are required for your Tenant's industry (e.g., GLBA for financial services, HIPAA for healthcare). Consider adding SOC 2 Type II certification to this section once obtained.</w:t>
      </w:r>
    </w:p>
    <w:p>
      <w:pPr>
        <w:spacing w:after="100" w:before="80"/>
      </w:pPr>
      <w:r>
        <w:rPr>
          <w:rFonts w:ascii="Arial" w:cs="Arial" w:eastAsia="Arial" w:hAnsi="Arial"/>
          <w:color w:val="000000"/>
          <w:sz w:val="22"/>
          <w:szCs w:val="22"/>
        </w:rPr>
        <w:t xml:space="preserve">Despite our security measures, no system is 100% secure. In the event of a data breach affecting your rights or freedoms, we will notify affected individuals and relevant supervisory authorities as required by applicable law.</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8. Your Data Rights</w:t>
      </w:r>
    </w:p>
    <w:p>
      <w:pPr>
        <w:spacing w:after="100" w:before="80"/>
      </w:pPr>
      <w:r>
        <w:rPr>
          <w:rFonts w:ascii="Arial" w:cs="Arial" w:eastAsia="Arial" w:hAnsi="Arial"/>
          <w:color w:val="000000"/>
          <w:sz w:val="22"/>
          <w:szCs w:val="22"/>
        </w:rPr>
        <w:t xml:space="preserve">Depending on your location, you may have the following rights regarding your personal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Right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It Means</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Right of Access (GDPR Art. 15 / CCPA §1798.100)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 a copy of all personal data we hold about you</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Right to Rectification (GDPR Art. 16)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inaccurate or incomplete data</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Right to Erasure (GDPR Art. 17 / CCPA §1798.105)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deletion of all your personal data</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Right to Restrict Processing (GDPR Art. 18)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 how we use your data in certain circumstances</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Right to Data Portability (GDPR Art. 20 / CCPA §1798.100)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 your data in a structured, machine-readable format</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Right to Object (GDPR Art. 21)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to processing based on legitimate interests</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Right to Withdraw Consent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Where processing is based on consent, withdraw at any time</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Right Not to Be Discriminated Against (CCPA)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Exercising rights will not result in different service quality</w:t>
            </w:r>
          </w:p>
        </w:tc>
      </w:tr>
    </w:tbl>
    <w:p>
      <w:pPr>
        <w:spacing w:after="100" w:before="80"/>
      </w:pPr>
      <w:r>
        <w:rPr>
          <w:rFonts w:ascii="Arial" w:cs="Arial" w:eastAsia="Arial" w:hAnsi="Arial"/>
          <w:color w:val="000000"/>
          <w:sz w:val="22"/>
          <w:szCs w:val="22"/>
        </w:rPr>
        <w:t xml:space="preserve">We will respond to verified requests within 30 days (GDPR) or 45 days (CCPA). We may need to verify your identity before processing your request. There is no charge for exercising your rights.</w:t>
      </w:r>
    </w:p>
    <w:p>
      <w:pPr>
        <w:spacing w:after="100" w:before="80"/>
      </w:pPr>
      <w:r>
        <w:rPr>
          <w:rFonts w:ascii="Arial" w:cs="Arial" w:eastAsia="Arial" w:hAnsi="Arial"/>
          <w:color w:val="000000"/>
          <w:sz w:val="22"/>
          <w:szCs w:val="22"/>
        </w:rPr>
        <w:t xml:space="preserve">If you are unhappy with how we have handled your data, you have the right to lodge a complaint with your local data protection authority. In the EU/EEA, this is your national supervisory authority (e.g., the ICO in the UK, the DPA in your country).</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9. International Data Transfers</w:t>
      </w:r>
    </w:p>
    <w:p>
      <w:pPr>
        <w:spacing w:after="100" w:before="80"/>
      </w:pPr>
      <w:r>
        <w:rPr>
          <w:rFonts w:ascii="Arial" w:cs="Arial" w:eastAsia="Arial" w:hAnsi="Arial"/>
          <w:color w:val="000000"/>
          <w:sz w:val="22"/>
          <w:szCs w:val="22"/>
        </w:rPr>
        <w:t xml:space="preserve">Nomii AI operates primarily from </w:t>
      </w:r>
    </w:p>
    <w:p>
      <w:pPr>
        <w:spacing w:after="80" w:before="80"/>
        <w:ind w:left="360"/>
      </w:pPr>
      <w:r>
        <w:rPr>
          <w:rFonts w:ascii="Arial" w:cs="Arial" w:eastAsia="Arial" w:hAnsi="Arial"/>
          <w:i/>
          <w:iCs/>
          <w:color w:val="666666"/>
          <w:sz w:val="20"/>
          <w:szCs w:val="20"/>
        </w:rPr>
        <w:t xml:space="preserve">Insert primary country of operation.</w:t>
      </w:r>
    </w:p>
    <w:p>
      <w:pPr>
        <w:spacing w:after="100" w:before="80"/>
      </w:pPr>
      <w:r>
        <w:rPr>
          <w:rFonts w:ascii="Arial" w:cs="Arial" w:eastAsia="Arial" w:hAnsi="Arial"/>
          <w:color w:val="000000"/>
          <w:sz w:val="22"/>
          <w:szCs w:val="22"/>
        </w:rPr>
        <w:t xml:space="preserve">Some of our sub-processors are located in the United States. When we transfer personal data from the European Economic Area (EEA), UK, or Switzerland to countries not recognised as providing adequate data protection, we rely on:</w:t>
      </w:r>
    </w:p>
    <w:p>
      <w:pPr>
        <w:pStyle w:val="ListParagraph"/>
        <w:numPr>
          <w:ilvl w:val="0"/>
          <w:numId w:val="2"/>
        </w:numPr>
        <w:spacing w:after="40" w:before="40"/>
      </w:pPr>
      <w:r>
        <w:rPr>
          <w:rFonts w:ascii="Arial" w:cs="Arial" w:eastAsia="Arial" w:hAnsi="Arial"/>
          <w:color w:val="000000"/>
          <w:sz w:val="22"/>
          <w:szCs w:val="22"/>
        </w:rPr>
        <w:t xml:space="preserve">Standard Contractual Clauses (SCCs) approved by the European Commission</w:t>
      </w:r>
    </w:p>
    <w:p>
      <w:pPr>
        <w:pStyle w:val="ListParagraph"/>
        <w:numPr>
          <w:ilvl w:val="0"/>
          <w:numId w:val="2"/>
        </w:numPr>
        <w:spacing w:after="40" w:before="40"/>
      </w:pPr>
      <w:r>
        <w:rPr>
          <w:rFonts w:ascii="Arial" w:cs="Arial" w:eastAsia="Arial" w:hAnsi="Arial"/>
          <w:color w:val="000000"/>
          <w:sz w:val="22"/>
          <w:szCs w:val="22"/>
        </w:rPr>
        <w:t xml:space="preserve">The EU-US Data Privacy Framework, where applicable</w:t>
      </w:r>
    </w:p>
    <w:p>
      <w:pPr>
        <w:spacing w:after="80" w:before="80"/>
        <w:ind w:left="360"/>
      </w:pPr>
      <w:r>
        <w:rPr>
          <w:rFonts w:ascii="Arial" w:cs="Arial" w:eastAsia="Arial" w:hAnsi="Arial"/>
          <w:i/>
          <w:iCs/>
          <w:color w:val="666666"/>
          <w:sz w:val="20"/>
          <w:szCs w:val="20"/>
        </w:rPr>
        <w:t xml:space="preserve">Attorney note: Confirm which transfer mechanisms apply to each sub-processor. Anthropic and Cloudflare are US-based — verify their SCCs or equivalent are current.</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10. Our Role as a Data Processor for Tenant Businesses</w:t>
      </w:r>
    </w:p>
    <w:p>
      <w:pPr>
        <w:spacing w:after="100" w:before="80"/>
      </w:pPr>
      <w:r>
        <w:rPr>
          <w:rFonts w:ascii="Arial" w:cs="Arial" w:eastAsia="Arial" w:hAnsi="Arial"/>
          <w:color w:val="000000"/>
          <w:sz w:val="22"/>
          <w:szCs w:val="22"/>
        </w:rPr>
        <w:t xml:space="preserve">Where we process personal data on behalf of a Tenant business (e.g., operating an AI agent for their customers), we act as a data processor under GDPR Article 28. The Tenant is the data controller and is responsible for ensuring they have a valid lawful basis for processing and have provided appropriate notice to their end customers.</w:t>
      </w:r>
    </w:p>
    <w:p>
      <w:pPr>
        <w:spacing w:after="100" w:before="80"/>
      </w:pPr>
      <w:r>
        <w:rPr>
          <w:rFonts w:ascii="Arial" w:cs="Arial" w:eastAsia="Arial" w:hAnsi="Arial"/>
          <w:color w:val="000000"/>
          <w:sz w:val="22"/>
          <w:szCs w:val="22"/>
        </w:rPr>
        <w:t xml:space="preserve">Nomii AI and each Tenant execute a Data Processing Agreement (DPA) that sets out our respective obligations, including security measures, sub-processor arrangements, data subject rights assistance, and breach notification procedures.</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11. Cookies and Tracking Technologies</w:t>
      </w:r>
    </w:p>
    <w:p>
      <w:pPr>
        <w:spacing w:after="100" w:before="80"/>
      </w:pPr>
      <w:r>
        <w:rPr>
          <w:rFonts w:ascii="Arial" w:cs="Arial" w:eastAsia="Arial" w:hAnsi="Arial"/>
          <w:color w:val="000000"/>
          <w:sz w:val="22"/>
          <w:szCs w:val="22"/>
        </w:rPr>
        <w:t xml:space="preserve">Our platform uses the following cookies and similar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Cookie/Technology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Session JWT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Authenticates your login session — stored in browser memory</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CSRF token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cross-site request forgery attacks</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defaul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5B00"/>
                <w:sz w:val="22"/>
                <w:szCs w:val="22"/>
              </w:rPr>
              <w:t xml:space="preserve">[PURPOSE]</w:t>
            </w:r>
          </w:p>
        </w:tc>
      </w:tr>
    </w:tbl>
    <w:p>
      <w:pPr>
        <w:spacing w:after="80" w:before="80"/>
        <w:ind w:left="360"/>
      </w:pPr>
      <w:r>
        <w:rPr>
          <w:rFonts w:ascii="Arial" w:cs="Arial" w:eastAsia="Arial" w:hAnsi="Arial"/>
          <w:i/>
          <w:iCs/>
          <w:color w:val="666666"/>
          <w:sz w:val="20"/>
          <w:szCs w:val="20"/>
        </w:rPr>
        <w:t xml:space="preserve">Attorney note: Review cookie usage carefully. If you use any analytics, marketing, or tracking cookies, you may need a cookie consent banner compliant with the ePrivacy Directive and GDPR. Update this table accordingly.</w:t>
      </w:r>
    </w:p>
    <w:p>
      <w:pPr>
        <w:spacing w:after="100" w:before="80"/>
      </w:pPr>
      <w:r>
        <w:rPr>
          <w:rFonts w:ascii="Arial" w:cs="Arial" w:eastAsia="Arial" w:hAnsi="Arial"/>
          <w:color w:val="000000"/>
          <w:sz w:val="22"/>
          <w:szCs w:val="22"/>
        </w:rPr>
        <w:t xml:space="preserve">We do not use advertising or behavioural tracking cookies.</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12. Children's Privacy</w:t>
      </w:r>
    </w:p>
    <w:p>
      <w:pPr>
        <w:spacing w:after="100" w:before="80"/>
      </w:pPr>
      <w:r>
        <w:rPr>
          <w:rFonts w:ascii="Arial" w:cs="Arial" w:eastAsia="Arial" w:hAnsi="Arial"/>
          <w:color w:val="000000"/>
          <w:sz w:val="22"/>
          <w:szCs w:val="22"/>
        </w:rPr>
        <w:t xml:space="preserve">Nomii AI is not directed at children under the age of 16 (or the applicable minimum age in your jurisdiction). We do not knowingly collect personal data from children. If you believe we have inadvertently collected data from a child, please contact us immediately so we can delete it.</w:t>
      </w:r>
    </w:p>
    <w:p>
      <w:pPr>
        <w:spacing w:after="80" w:before="80"/>
        <w:ind w:left="360"/>
      </w:pPr>
      <w:r>
        <w:rPr>
          <w:rFonts w:ascii="Arial" w:cs="Arial" w:eastAsia="Arial" w:hAnsi="Arial"/>
          <w:i/>
          <w:iCs/>
          <w:color w:val="666666"/>
          <w:sz w:val="20"/>
          <w:szCs w:val="20"/>
        </w:rPr>
        <w:t xml:space="preserve">Attorney note: Review age thresholds. The GDPR allows member states to lower the threshold to 13. COPPA (US) sets the threshold at 13 for children directed services. Clarify based on your deployment market.</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13. Changes to This Policy</w:t>
      </w:r>
    </w:p>
    <w:p>
      <w:pPr>
        <w:spacing w:after="100" w:before="80"/>
      </w:pPr>
      <w:r>
        <w:rPr>
          <w:rFonts w:ascii="Arial" w:cs="Arial" w:eastAsia="Arial" w:hAnsi="Arial"/>
          <w:color w:val="000000"/>
          <w:sz w:val="22"/>
          <w:szCs w:val="22"/>
        </w:rPr>
        <w:t xml:space="preserve">We may update this Privacy Policy from time to time. When we make material changes, we will notify you by updating the "Last Updated" date at the top of this document and, where required by law, by sending you a direct notification.</w:t>
      </w:r>
    </w:p>
    <w:p>
      <w:pPr>
        <w:spacing w:after="100" w:before="80"/>
      </w:pPr>
      <w:r>
        <w:rPr>
          <w:rFonts w:ascii="Arial" w:cs="Arial" w:eastAsia="Arial" w:hAnsi="Arial"/>
          <w:color w:val="000000"/>
          <w:sz w:val="22"/>
          <w:szCs w:val="22"/>
        </w:rPr>
        <w:t xml:space="preserve">We encourage you to review this policy periodically. Continued use of the Service after changes constitutes acceptance of the updated policy.</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14. Contact and Complaints</w:t>
      </w:r>
    </w:p>
    <w:p>
      <w:pPr>
        <w:spacing w:after="100" w:before="80"/>
      </w:pPr>
      <w:r>
        <w:rPr>
          <w:rFonts w:ascii="Arial" w:cs="Arial" w:eastAsia="Arial" w:hAnsi="Arial"/>
          <w:color w:val="000000"/>
          <w:sz w:val="22"/>
          <w:szCs w:val="22"/>
        </w:rPr>
        <w:t xml:space="preserve">To exercise your data rights, make a complaint, or ask questions about this Privacy Policy:</w:t>
      </w:r>
    </w:p>
    <w:p>
      <w:pPr>
        <w:spacing w:after="80" w:before="80"/>
      </w:pPr>
      <w:r>
        <w:rPr>
          <w:rFonts w:ascii="Arial" w:cs="Arial" w:eastAsia="Arial" w:hAnsi="Arial"/>
          <w:b/>
          <w:bCs/>
          <w:sz w:val="22"/>
          <w:szCs w:val="22"/>
        </w:rPr>
        <w:t xml:space="preserve">Email: </w:t>
      </w:r>
      <w:r>
        <w:rPr>
          <w:rFonts w:ascii="Arial" w:cs="Arial" w:eastAsia="Arial" w:hAnsi="Arial"/>
          <w:b/>
          <w:bCs/>
          <w:color w:val="D45B00"/>
          <w:sz w:val="22"/>
          <w:szCs w:val="22"/>
        </w:rPr>
        <w:t xml:space="preserve">[PRIVACY CONTACT EMAIL]</w:t>
      </w:r>
    </w:p>
    <w:p>
      <w:pPr>
        <w:spacing w:after="80" w:before="80"/>
      </w:pPr>
      <w:r>
        <w:rPr>
          <w:rFonts w:ascii="Arial" w:cs="Arial" w:eastAsia="Arial" w:hAnsi="Arial"/>
          <w:b/>
          <w:bCs/>
          <w:sz w:val="22"/>
          <w:szCs w:val="22"/>
        </w:rPr>
        <w:t xml:space="preserve">Post: </w:t>
      </w:r>
      <w:r>
        <w:rPr>
          <w:rFonts w:ascii="Arial" w:cs="Arial" w:eastAsia="Arial" w:hAnsi="Arial"/>
          <w:b/>
          <w:bCs/>
          <w:color w:val="D45B00"/>
          <w:sz w:val="22"/>
          <w:szCs w:val="22"/>
        </w:rPr>
        <w:t xml:space="preserve">[COMPANY NAME AND ADDRESS]</w:t>
      </w:r>
    </w:p>
    <w:p>
      <w:pPr>
        <w:spacing w:after="100" w:before="80"/>
      </w:pPr>
      <w:r>
        <w:rPr>
          <w:rFonts w:ascii="Arial" w:cs="Arial" w:eastAsia="Arial" w:hAnsi="Arial"/>
          <w:color w:val="000000"/>
          <w:sz w:val="22"/>
          <w:szCs w:val="22"/>
        </w:rPr>
        <w:t xml:space="preserve">We will acknowledge your request within 72 hours and respond in full within 30 days.</w:t>
      </w:r>
    </w:p>
    <w:p>
      <w:pPr>
        <w:spacing w:after="100" w:before="80"/>
      </w:pPr>
      <w:r>
        <w:rPr>
          <w:rFonts w:ascii="Arial" w:cs="Arial" w:eastAsia="Arial" w:hAnsi="Arial"/>
          <w:color w:val="000000"/>
          <w:sz w:val="22"/>
          <w:szCs w:val="22"/>
        </w:rPr>
        <w:t xml:space="preserve">If you are located in the EU/EEA and are not satisfied with our response, you have the right to contact your national data protection authority.</w:t>
      </w:r>
    </w:p>
    <w:p>
      <w:pPr>
        <w:pBdr>
          <w:bottom w:val="single" w:color="CCCCCC" w:sz="4"/>
        </w:pBdr>
        <w:spacing w:after="240" w:before="240"/>
      </w:pPr>
    </w:p>
    <w:p>
      <w:pPr>
        <w:spacing w:after="80" w:before="240"/>
      </w:pPr>
      <w:r>
        <w:rPr>
          <w:rFonts w:ascii="Arial" w:cs="Arial" w:eastAsia="Arial" w:hAnsi="Arial"/>
          <w:i/>
          <w:iCs/>
          <w:color w:val="666666"/>
          <w:sz w:val="18"/>
          <w:szCs w:val="18"/>
        </w:rPr>
        <w:t xml:space="preserve">This document was prepared for attorney review. </w:t>
      </w:r>
      <w:r>
        <w:rPr>
          <w:rFonts w:ascii="Arial" w:cs="Arial" w:eastAsia="Arial" w:hAnsi="Arial"/>
          <w:i/>
          <w:iCs/>
          <w:color w:val="666666"/>
          <w:sz w:val="18"/>
          <w:szCs w:val="18"/>
        </w:rPr>
        <w:t xml:space="preserve">It does not constitute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360"/>
      </w:tabs>
    </w:pPr>
    <w:r>
      <w:rPr>
        <w:rFonts w:ascii="Arial" w:cs="Arial" w:eastAsia="Arial" w:hAnsi="Arial"/>
        <w:color w:val="666666"/>
        <w:sz w:val="16"/>
        <w:szCs w:val="16"/>
      </w:rPr>
      <w:t xml:space="preserve">Ponten Solutions — Nomii AI  |  pontensolutions.com</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pBdr>
      <w:tabs>
        <w:tab w:val="right" w:pos="9360"/>
      </w:tabs>
    </w:pPr>
    <w:r>
      <w:rPr>
        <w:rFonts w:ascii="Arial" w:cs="Arial" w:eastAsia="Arial" w:hAnsi="Arial"/>
        <w:b/>
        <w:bCs/>
        <w:color w:val="1E3A5F"/>
        <w:sz w:val="18"/>
        <w:szCs w:val="18"/>
      </w:rPr>
      <w:t xml:space="preserve">Nomii AI — Privacy Policy</w:t>
    </w:r>
    <w:r>
      <w:rPr>
        <w:rFonts w:ascii="Arial" w:cs="Arial" w:eastAsia="Arial" w:hAnsi="Arial"/>
        <w:color w:val="666666"/>
        <w:sz w:val="16"/>
        <w:szCs w:val="16"/>
      </w:rPr>
      <w:t xml:space="preserve">	CONFIDENTIAL — FOR LEGAL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2026-03-26T09:55:19.379Z</dcterms:created>
  <dcterms:modified xsi:type="dcterms:W3CDTF">2026-03-26T09:55:19.379Z</dcterms:modified>
</cp:coreProperties>
</file>

<file path=docProps/custom.xml><?xml version="1.0" encoding="utf-8"?>
<Properties xmlns="http://schemas.openxmlformats.org/officeDocument/2006/custom-properties" xmlns:vt="http://schemas.openxmlformats.org/officeDocument/2006/docPropsVTypes"/>
</file>