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0B1222"/>
          <w:sz w:val="72"/>
          <w:szCs w:val="72"/>
        </w:rPr>
        <w:t xml:space="preserve">NomiiAI</w:t>
      </w:r>
    </w:p>
    <w:p>
      <w:pPr>
        <w:spacing w:after="160" w:before="80"/>
        <w:jc w:val="center"/>
      </w:pPr>
      <w:r>
        <w:rPr>
          <w:rFonts w:ascii="Arial" w:cs="Arial" w:eastAsia="Arial" w:hAnsi="Arial"/>
          <w:color w:val="C9A84C"/>
          <w:sz w:val="40"/>
          <w:szCs w:val="40"/>
        </w:rPr>
        <w:t xml:space="preserve">AI Regulatory Compliance Review</w:t>
      </w:r>
    </w:p>
    <w:p>
      <w:pPr>
        <w:spacing w:after="80" w:before="0"/>
        <w:jc w:val="center"/>
      </w:pPr>
      <w:r>
        <w:rPr>
          <w:rFonts w:ascii="Arial" w:cs="Arial" w:eastAsia="Arial" w:hAnsi="Arial"/>
          <w:i/>
          <w:iCs/>
          <w:color w:val="666666"/>
          <w:sz w:val="24"/>
          <w:szCs w:val="24"/>
        </w:rPr>
        <w:t xml:space="preserve">EU AI Act  ·  GDPR  ·  US State Laws</w:t>
      </w:r>
    </w:p>
    <w:p>
      <w:pPr>
        <w:pBdr>
          <w:bottom w:val="single" w:color="C9A84C" w:sz="6"/>
        </w:pBdr>
        <w:spacing w:after="2400" w:before="0"/>
        <w:jc w:val="center"/>
      </w:pPr>
    </w:p>
    <w:p>
      <w:pPr>
        <w:spacing w:after="80" w:before="2400"/>
        <w:jc w:val="center"/>
      </w:pPr>
      <w:r>
        <w:rPr>
          <w:rFonts w:ascii="Arial" w:cs="Arial" w:eastAsia="Arial" w:hAnsi="Arial"/>
          <w:color w:val="666666"/>
          <w:sz w:val="22"/>
          <w:szCs w:val="22"/>
        </w:rPr>
        <w:t xml:space="preserve">Prepared by: Claude AI Legal Research</w:t>
      </w:r>
    </w:p>
    <w:p>
      <w:pPr>
        <w:jc w:val="center"/>
      </w:pPr>
      <w:r>
        <w:rPr>
          <w:rFonts w:ascii="Arial" w:cs="Arial" w:eastAsia="Arial" w:hAnsi="Arial"/>
          <w:color w:val="666666"/>
          <w:sz w:val="22"/>
          <w:szCs w:val="22"/>
        </w:rPr>
        <w:t xml:space="preserve">March 2026  —  CONFIDENTIAL</w:t>
      </w:r>
    </w:p>
    <w:p>
      <w:pPr>
        <w:spacing w:before="640"/>
        <w:jc w:val="center"/>
      </w:pPr>
      <w:r>
        <w:rPr>
          <w:rFonts w:ascii="Arial" w:cs="Arial" w:eastAsia="Arial" w:hAnsi="Arial"/>
          <w:i/>
          <w:iCs/>
          <w:color w:val="999999"/>
          <w:sz w:val="18"/>
          <w:szCs w:val="18"/>
        </w:rPr>
        <w:t xml:space="preserve">Note: This document is AI-generated research, not legal advice. Engage qualified EU data protection and AI law counsel before taking compliance action.</w:t>
      </w:r>
    </w:p>
    <w:p>
      <w:r>
        <w:br w:type="page"/>
      </w:r>
    </w:p>
    <w:p>
      <w:pPr>
        <w:pStyle w:val="Heading1"/>
        <w:spacing w:after="200" w:before="160"/>
      </w:pPr>
      <w:r>
        <w:rPr>
          <w:rFonts w:ascii="Arial" w:cs="Arial" w:eastAsia="Arial" w:hAnsi="Arial"/>
          <w:b/>
          <w:bCs/>
          <w:color w:val="0B1222"/>
          <w:sz w:val="36"/>
          <w:szCs w:val="36"/>
        </w:rPr>
        <w:t xml:space="preserve">1.  Executive Summary</w:t>
      </w:r>
    </w:p>
    <w:p>
      <w:pPr>
        <w:spacing w:after="160" w:before="0"/>
        <w:jc w:val="left"/>
      </w:pPr>
      <w:r>
        <w:rPr>
          <w:rFonts w:ascii="Arial" w:cs="Arial" w:eastAsia="Arial" w:hAnsi="Arial"/>
          <w:b w:val="false"/>
          <w:bCs w:val="false"/>
          <w:color w:val="333333"/>
          <w:sz w:val="22"/>
          <w:szCs w:val="22"/>
        </w:rPr>
        <w:t xml:space="preserve">NomiiAI is a multi-tenant B2B SaaS platform that provides personalised AI chat agents to businesses. Those agents are deployed on third-party websites via an embeddable widget and interact directly with end consumers. This creates a layered regulatory exposure: NomiiAI sits between Anthropic (the General-Purpose AI model provider) and its tenant businesses (the deployers), absorbing obligations from both sides of the chain.</w:t>
      </w:r>
    </w:p>
    <w:p>
      <w:pPr>
        <w:spacing w:after="160" w:before="120"/>
        <w:jc w:val="left"/>
      </w:pPr>
      <w:r>
        <w:rPr>
          <w:rFonts w:ascii="Arial" w:cs="Arial" w:eastAsia="Arial" w:hAnsi="Arial"/>
          <w:b w:val="false"/>
          <w:bCs w:val="false"/>
          <w:color w:val="333333"/>
          <w:sz w:val="22"/>
          <w:szCs w:val="22"/>
        </w:rPr>
        <w:t xml:space="preserve">The good news: customer-facing service chatbots are the lowest-risk category under both the EU AI Act and the key US state laws reviewed. NomiiAI is not building social-scoring systems, biometric identification tools, or AI for healthcare decisions — all of which carry severe obligations. The main obligations that apply are transparency, GDPR data-handling, and a small number of US state disclosure rules.</w:t>
      </w:r>
    </w:p>
    <w:p>
      <w:pPr>
        <w:spacing w:after="160" w:before="120"/>
        <w:jc w:val="left"/>
      </w:pPr>
      <w:r>
        <w:rPr>
          <w:rFonts w:ascii="Arial" w:cs="Arial" w:eastAsia="Arial" w:hAnsi="Arial"/>
          <w:b w:val="false"/>
          <w:bCs w:val="false"/>
          <w:color w:val="333333"/>
          <w:sz w:val="22"/>
          <w:szCs w:val="22"/>
        </w:rPr>
        <w:t xml:space="preserve">The areas requiring the most urgent attention are:</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The widget does not currently disclose that the user is talking to an AI — this is the single highest-risk gap and the easiest to fix.</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Soul &amp; Memory files constitute rich personal data profiles under GDPR with no documented retention policy or formal lawful basis.</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No Data Protection Impact Assessment (DPIA) has been conducted, and no AI-specific Privacy Policy has been published.</w:t>
      </w:r>
    </w:p>
    <w:p>
      <w:pPr>
        <w:spacing w:after="160" w:before="120"/>
        <w:jc w:val="left"/>
      </w:pPr>
      <w:r>
        <w:rPr>
          <w:rFonts w:ascii="Arial" w:cs="Arial" w:eastAsia="Arial" w:hAnsi="Arial"/>
          <w:b w:val="false"/>
          <w:bCs w:val="false"/>
          <w:color w:val="333333"/>
          <w:sz w:val="22"/>
          <w:szCs w:val="22"/>
        </w:rPr>
        <w:t xml:space="preserve">All critical gaps can be resolved with relatively modest development and legal effort within two to three months, well ahead of the August 2026 EU AI Act full enforcement deadline.</w:t>
      </w:r>
    </w:p>
    <w:p>
      <w:pPr>
        <w:pBdr>
          <w:bottom w:val="single" w:color="E8E8E8" w:sz="4"/>
        </w:pBdr>
        <w:spacing w:after="120" w:before="120"/>
      </w:pPr>
    </w:p>
    <w:p>
      <w:pPr>
        <w:pStyle w:val="Heading1"/>
        <w:pageBreakBefore/>
        <w:spacing w:after="200" w:before="480"/>
      </w:pPr>
      <w:r>
        <w:rPr>
          <w:rFonts w:ascii="Arial" w:cs="Arial" w:eastAsia="Arial" w:hAnsi="Arial"/>
          <w:b/>
          <w:bCs/>
          <w:color w:val="0B1222"/>
          <w:sz w:val="36"/>
          <w:szCs w:val="36"/>
        </w:rPr>
        <w:t xml:space="preserve">2.  NomiiAI: Regulatory Identity</w:t>
      </w:r>
    </w:p>
    <w:p>
      <w:pPr>
        <w:pStyle w:val="Heading2"/>
        <w:spacing w:after="160" w:before="360"/>
      </w:pPr>
      <w:r>
        <w:rPr>
          <w:rFonts w:ascii="Arial" w:cs="Arial" w:eastAsia="Arial" w:hAnsi="Arial"/>
          <w:b/>
          <w:bCs/>
          <w:color w:val="0B1222"/>
          <w:sz w:val="28"/>
          <w:szCs w:val="28"/>
        </w:rPr>
        <w:t xml:space="preserve">2.1  What NomiiAI Is (Legally)</w:t>
      </w:r>
    </w:p>
    <w:p>
      <w:pPr>
        <w:spacing w:after="160" w:before="0"/>
        <w:jc w:val="left"/>
      </w:pPr>
      <w:r>
        <w:rPr>
          <w:rFonts w:ascii="Arial" w:cs="Arial" w:eastAsia="Arial" w:hAnsi="Arial"/>
          <w:b w:val="false"/>
          <w:bCs w:val="false"/>
          <w:color w:val="333333"/>
          <w:sz w:val="22"/>
          <w:szCs w:val="22"/>
        </w:rPr>
        <w:t xml:space="preserve">Understanding your position in the AI supply chain is the starting point for every compliance question. NomiiAI occupies three distinct roles simultaneously:</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Deployer of a GPAI model — NomiiAI calls Anthropic's Claude API, making it a "deployer" of a General-Purpose AI model under the EU AI Act. Anthropic carries provider-level GPAI obligations; NomiiAI carries deployer obligations.</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Provider of an AI system — NomiiAI builds, markets, and places on the market its own AI chat agent system. This makes NomiiAI a "provider" of an AI system (distinct from being a GPAI model provider). Provider obligations under the EU AI Act apply.</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Data Controller under GDPR — NomiiAI collects, stores, and processes personal data about end consumers (names, emails, conversation histories, behavioural profiles). This makes NomiiAI a data controller, not just a data processor.</w:t>
      </w:r>
    </w:p>
    <w:p>
      <w:pPr>
        <w:spacing w:after="160" w:before="120"/>
        <w:jc w:val="left"/>
      </w:pPr>
      <w:r>
        <w:rPr>
          <w:rFonts w:ascii="Arial" w:cs="Arial" w:eastAsia="Arial" w:hAnsi="Arial"/>
          <w:b w:val="false"/>
          <w:bCs w:val="false"/>
          <w:color w:val="333333"/>
          <w:sz w:val="22"/>
          <w:szCs w:val="22"/>
        </w:rPr>
        <w:t xml:space="preserve">This layered identity means NomiiAI must comply with obligations from multiple angles at once. Tenants who embed the widget are additional deployers in the chain, and NomiiAI should contractually flow down appropriate obligations to them.</w:t>
      </w:r>
    </w:p>
    <w:p>
      <w:pPr>
        <w:pStyle w:val="Heading2"/>
        <w:spacing w:after="160" w:before="360"/>
      </w:pPr>
      <w:r>
        <w:rPr>
          <w:rFonts w:ascii="Arial" w:cs="Arial" w:eastAsia="Arial" w:hAnsi="Arial"/>
          <w:b/>
          <w:bCs/>
          <w:color w:val="0B1222"/>
          <w:sz w:val="28"/>
          <w:szCs w:val="28"/>
        </w:rPr>
        <w:t xml:space="preserve">2.2  EU AI Act Risk Classification</w:t>
      </w:r>
    </w:p>
    <w:p>
      <w:pPr>
        <w:spacing w:after="160" w:before="0"/>
        <w:jc w:val="left"/>
      </w:pPr>
      <w:r>
        <w:rPr>
          <w:rFonts w:ascii="Arial" w:cs="Arial" w:eastAsia="Arial" w:hAnsi="Arial"/>
          <w:b w:val="false"/>
          <w:bCs w:val="false"/>
          <w:color w:val="333333"/>
          <w:sz w:val="22"/>
          <w:szCs w:val="22"/>
        </w:rPr>
        <w:t xml:space="preserve">The EU AI Act classifies AI systems into four tiers: Unacceptable Risk (prohibited), High Risk, Limited Risk, and Minimal Risk. NomiiAI's customer service agents fall into the Limited Risk tier:</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NomiiAI's agents do not make consequential decisions about people's employment, credit, health, housing, or legal status — those are the hallmarks of High Risk systems.</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NomiiAI's agents are not biometric identification tools, social scoring systems, or AI that exploits psychological vulnerabilities.</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Customer service chatbots are the archetypal Limited Risk category under Article 50 of the Act.</w:t>
      </w:r>
    </w:p>
    <w:p>
      <w:pPr>
        <w:spacing w:after="160" w:before="120"/>
        <w:jc w:val="left"/>
      </w:pPr>
      <w:r>
        <w:rPr>
          <w:rFonts w:ascii="Arial" w:cs="Arial" w:eastAsia="Arial" w:hAnsi="Arial"/>
          <w:b w:val="false"/>
          <w:bCs w:val="false"/>
          <w:color w:val="333333"/>
          <w:sz w:val="22"/>
          <w:szCs w:val="22"/>
        </w:rPr>
        <w:t xml:space="preserve">This is important: the compliance burden for Limited Risk is substantially lower than for High Risk systems. There is no mandatory conformity assessment, no EU database registration, and no CE marking requirement. The primary obligation is transparency.</w:t>
      </w:r>
    </w:p>
    <w:p>
      <w:pPr>
        <w:pBdr>
          <w:bottom w:val="single" w:color="E8E8E8" w:sz="4"/>
        </w:pBdr>
        <w:spacing w:after="120" w:before="120"/>
      </w:pPr>
    </w:p>
    <w:p>
      <w:pPr>
        <w:pStyle w:val="Heading1"/>
        <w:pageBreakBefore/>
        <w:spacing w:after="200" w:before="480"/>
      </w:pPr>
      <w:r>
        <w:rPr>
          <w:rFonts w:ascii="Arial" w:cs="Arial" w:eastAsia="Arial" w:hAnsi="Arial"/>
          <w:b/>
          <w:bCs/>
          <w:color w:val="0B1222"/>
          <w:sz w:val="36"/>
          <w:szCs w:val="36"/>
        </w:rPr>
        <w:t xml:space="preserve">3.  EU AI Act: Obligations &amp; Gaps</w:t>
      </w:r>
    </w:p>
    <w:p>
      <w:pPr>
        <w:pStyle w:val="Heading2"/>
        <w:spacing w:after="160" w:before="360"/>
      </w:pPr>
      <w:r>
        <w:rPr>
          <w:rFonts w:ascii="Arial" w:cs="Arial" w:eastAsia="Arial" w:hAnsi="Arial"/>
          <w:b/>
          <w:bCs/>
          <w:color w:val="0B1222"/>
          <w:sz w:val="28"/>
          <w:szCs w:val="28"/>
        </w:rPr>
        <w:t xml:space="preserve">3.1  Key Deadlines</w:t>
      </w:r>
    </w:p>
    <w:p>
      <w:pPr>
        <w:spacing w:after="160" w:before="0"/>
        <w:jc w:val="left"/>
      </w:pPr>
      <w:r>
        <w:rPr>
          <w:rFonts w:ascii="Arial" w:cs="Arial" w:eastAsia="Arial" w:hAnsi="Arial"/>
          <w:b w:val="false"/>
          <w:bCs w:val="false"/>
          <w:color w:val="333333"/>
          <w:sz w:val="22"/>
          <w:szCs w:val="22"/>
        </w:rPr>
        <w:t xml:space="preserve">The EU AI Act entered into force on 1 August 2024. The obligations most relevant to NomiiAI apply on the following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0B122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Deadline</w:t>
            </w:r>
          </w:p>
        </w:tc>
        <w:tc>
          <w:tcPr>
            <w:tcW w:type="dxa" w:w="2200"/>
            <w:tcBorders>
              <w:top w:val="single" w:color="CCCCCC" w:sz="1"/>
              <w:left w:val="single" w:color="CCCCCC" w:sz="1"/>
              <w:bottom w:val="single" w:color="CCCCCC" w:sz="1"/>
              <w:right w:val="single" w:color="CCCCCC" w:sz="1"/>
            </w:tcBorders>
            <w:shd w:fill="0B122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4760"/>
            <w:tcBorders>
              <w:top w:val="single" w:color="CCCCCC" w:sz="1"/>
              <w:left w:val="single" w:color="CCCCCC" w:sz="1"/>
              <w:bottom w:val="single" w:color="CCCCCC" w:sz="1"/>
              <w:right w:val="single" w:color="CCCCCC" w:sz="1"/>
            </w:tcBorders>
            <w:shd w:fill="0B122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Means for NomiiAI</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AI Literacy Obligations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C0392B"/>
                <w:sz w:val="20"/>
                <w:szCs w:val="20"/>
              </w:rPr>
              <w:t xml:space="preserve">2 February 2025 (PAST)</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Staff using AI tools must have sufficient AI literacy. Affects NomiiAI team internally.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GPAI Model Rules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0392B"/>
                <w:sz w:val="20"/>
                <w:szCs w:val="20"/>
              </w:rPr>
              <w:t xml:space="preserve">2 August 2025 (PAST)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Anthropic (Claude) must comply. NomiiAI must review usage policies from Anthropic as downstream deployer.</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Transparency (Article 50)</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E67E22"/>
                <w:sz w:val="20"/>
                <w:szCs w:val="20"/>
              </w:rPr>
              <w:t xml:space="preserve">2 August 2026</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Chatbot must identify itself as AI to users unless context makes it obvious. Critical gap for NomiiAI.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High-Risk System Rules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888888"/>
                <w:sz w:val="20"/>
                <w:szCs w:val="20"/>
              </w:rPr>
              <w:t xml:space="preserve">2 August 2026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888888"/>
                <w:sz w:val="20"/>
                <w:szCs w:val="20"/>
              </w:rPr>
              <w:t xml:space="preserve">Does NOT apply to NomiiAI (customer service chatbot = Limited Risk, not High Risk).</w:t>
            </w:r>
          </w:p>
        </w:tc>
      </w:tr>
    </w:tbl>
    <w:p>
      <w:pPr>
        <w:pStyle w:val="Heading2"/>
        <w:spacing w:after="160" w:before="360"/>
      </w:pPr>
      <w:r>
        <w:rPr>
          <w:rFonts w:ascii="Arial" w:cs="Arial" w:eastAsia="Arial" w:hAnsi="Arial"/>
          <w:b/>
          <w:bCs/>
          <w:color w:val="0B1222"/>
          <w:sz w:val="28"/>
          <w:szCs w:val="28"/>
        </w:rPr>
        <w:t xml:space="preserve">3.2  Article 50 — Transparency Obligation (Critical Gap)</w:t>
      </w:r>
    </w:p>
    <w:p>
      <w:pPr>
        <w:spacing w:after="160" w:before="120"/>
        <w:jc w:val="left"/>
      </w:pPr>
      <w:r>
        <w:rPr>
          <w:rFonts w:ascii="Arial" w:cs="Arial" w:eastAsia="Arial" w:hAnsi="Arial"/>
          <w:b w:val="false"/>
          <w:bCs w:val="false"/>
          <w:color w:val="333333"/>
          <w:sz w:val="22"/>
          <w:szCs w:val="22"/>
        </w:rPr>
        <w:t xml:space="preserve">Article 50 is the single most important provision for NomiiAI. It requires that anyone deploying a chatbot or conversational AI system must ensure users are clearly informed they are interacting with an AI — unless this is already obvious from context.</w:t>
      </w:r>
    </w:p>
    <w:p>
      <w:pPr>
        <w:spacing w:after="160" w:before="120"/>
        <w:jc w:val="left"/>
      </w:pPr>
      <w:r>
        <w:rPr>
          <w:rFonts w:ascii="Arial" w:cs="Arial" w:eastAsia="Arial" w:hAnsi="Arial"/>
          <w:b/>
          <w:bCs/>
          <w:color w:val="333333"/>
          <w:sz w:val="22"/>
          <w:szCs w:val="22"/>
        </w:rPr>
        <w:t xml:space="preserve">Current state of the NomiiAI widget:</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The widget shows "Powered by NomiiAI" branding at the bottom of the chat window.</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The agent has a name (e.g., "Jerry") but there is no explicit disclosure that Jerry is an AI system.</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A reasonable consumer could believe they are chatting with a human employee named Jerry.</w:t>
      </w:r>
    </w:p>
    <w:p>
      <w:pPr>
        <w:spacing w:after="160" w:before="120"/>
        <w:jc w:val="left"/>
      </w:pPr>
      <w:r>
        <w:rPr>
          <w:rFonts w:ascii="Arial" w:cs="Arial" w:eastAsia="Arial" w:hAnsi="Arial"/>
          <w:b w:val="false"/>
          <w:bCs w:val="false"/>
          <w:color w:val="333333"/>
          <w:sz w:val="22"/>
          <w:szCs w:val="22"/>
        </w:rPr>
        <w:t xml:space="preserve">This is the most urgent fix. The disclosure requirement is already in effect in Maine (September 2025) and becomes EU-wide in August 2026. A single line of text or a small UI badge at the start of every conversation resolves this entirely. Suggested implementation:</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Auto-send a system message at the start of every new conversation: "Hi! I'm [AgentName], an AI assistant for [CompanyName]. How can I help you today?"</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Add a small badge in the widget header: "AI-powered chat"</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Ensure the tenant-facing embed documentation instructs tenants on disclosure obligations they carry.</w:t>
      </w:r>
    </w:p>
    <w:p>
      <w:pPr>
        <w:pStyle w:val="Heading2"/>
        <w:spacing w:after="160" w:before="360"/>
      </w:pPr>
      <w:r>
        <w:rPr>
          <w:rFonts w:ascii="Arial" w:cs="Arial" w:eastAsia="Arial" w:hAnsi="Arial"/>
          <w:b/>
          <w:bCs/>
          <w:color w:val="0B1222"/>
          <w:sz w:val="28"/>
          <w:szCs w:val="28"/>
        </w:rPr>
        <w:t xml:space="preserve">3.3  Human Oversight &amp; Escalation</w:t>
      </w:r>
    </w:p>
    <w:p>
      <w:pPr>
        <w:spacing w:after="160" w:before="0"/>
        <w:jc w:val="left"/>
      </w:pPr>
      <w:r>
        <w:rPr>
          <w:rFonts w:ascii="Arial" w:cs="Arial" w:eastAsia="Arial" w:hAnsi="Arial"/>
          <w:b w:val="false"/>
          <w:bCs w:val="false"/>
          <w:color w:val="333333"/>
          <w:sz w:val="22"/>
          <w:szCs w:val="22"/>
        </w:rPr>
        <w:t xml:space="preserve">The EU AI Act expects that AI systems used in consumer-facing contexts provide a meaningful way for users to escalate to a human. NomiiAI already has a concern/escalation flag in the backend. The gap is that end users in the widget currently have no obvious button to say "I want to speak to a human."</w:t>
      </w:r>
    </w:p>
    <w:p>
      <w:pPr>
        <w:spacing w:after="160" w:before="120"/>
        <w:jc w:val="left"/>
      </w:pPr>
      <w:r>
        <w:rPr>
          <w:rFonts w:ascii="Arial" w:cs="Arial" w:eastAsia="Arial" w:hAnsi="Arial"/>
          <w:b w:val="false"/>
          <w:bCs w:val="false"/>
          <w:color w:val="333333"/>
          <w:sz w:val="22"/>
          <w:szCs w:val="22"/>
        </w:rPr>
        <w:t xml:space="preserve">Recommended fix: add an escape-hatch button or allow tenants to configure a "Transfer to human" link/button within the widget, directing users to a phone number, email, or live chat fallback.</w:t>
      </w:r>
    </w:p>
    <w:p>
      <w:pPr>
        <w:pStyle w:val="Heading2"/>
        <w:spacing w:after="160" w:before="360"/>
      </w:pPr>
      <w:r>
        <w:rPr>
          <w:rFonts w:ascii="Arial" w:cs="Arial" w:eastAsia="Arial" w:hAnsi="Arial"/>
          <w:b/>
          <w:bCs/>
          <w:color w:val="0B1222"/>
          <w:sz w:val="28"/>
          <w:szCs w:val="28"/>
        </w:rPr>
        <w:t xml:space="preserve">3.4  AI Literacy (Internal — Deadline Passed)</w:t>
      </w:r>
    </w:p>
    <w:p>
      <w:pPr>
        <w:spacing w:after="160" w:before="0"/>
        <w:jc w:val="left"/>
      </w:pPr>
      <w:r>
        <w:rPr>
          <w:rFonts w:ascii="Arial" w:cs="Arial" w:eastAsia="Arial" w:hAnsi="Arial"/>
          <w:b w:val="false"/>
          <w:bCs w:val="false"/>
          <w:color w:val="333333"/>
          <w:sz w:val="22"/>
          <w:szCs w:val="22"/>
        </w:rPr>
        <w:t xml:space="preserve">From February 2025, EU AI Act Article 4 requires that providers and deployers of AI ensure their staff have sufficient AI literacy — understanding how the AI works, what it can and cannot do, and how to spot issues. Since this deadline has passed, NomiiAI should document that its team has received AI literacy briefings. A one-page internal training record and a brief onboarding document for tenant admins would satisfy this for a small SaaS operator.</w:t>
      </w:r>
    </w:p>
    <w:p>
      <w:pPr>
        <w:pStyle w:val="Heading2"/>
        <w:spacing w:after="160" w:before="360"/>
      </w:pPr>
      <w:r>
        <w:rPr>
          <w:rFonts w:ascii="Arial" w:cs="Arial" w:eastAsia="Arial" w:hAnsi="Arial"/>
          <w:b/>
          <w:bCs/>
          <w:color w:val="0B1222"/>
          <w:sz w:val="28"/>
          <w:szCs w:val="28"/>
        </w:rPr>
        <w:t xml:space="preserve">3.5  GPAI Deployer Obligations</w:t>
      </w:r>
    </w:p>
    <w:p>
      <w:pPr>
        <w:spacing w:after="160" w:before="0"/>
        <w:jc w:val="left"/>
      </w:pPr>
      <w:r>
        <w:rPr>
          <w:rFonts w:ascii="Arial" w:cs="Arial" w:eastAsia="Arial" w:hAnsi="Arial"/>
          <w:b w:val="false"/>
          <w:bCs w:val="false"/>
          <w:color w:val="333333"/>
          <w:sz w:val="22"/>
          <w:szCs w:val="22"/>
        </w:rPr>
        <w:t xml:space="preserve">Because NomiiAI uses Claude (Anthropic) as its underlying model, it must review Anthropic's usage policies and terms as part of its downstream deployer obligations. Specifically:</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NomiiAI's use of Claude must comply with Anthropic's Acceptable Use Policy. Any customer use case outside these boundaries creates liability.</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NomiiAI should retain documentation of its technical setup (which model version, what prompts, what safeguards) as part of its own technical documentation.</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If NomiiAI fine-tunes or significantly modifies the model's behaviour (it does not currently appear to do so beyond prompting), that could shift GPAI provider obligations onto NomiiAI directly.</w:t>
      </w:r>
    </w:p>
    <w:p>
      <w:pPr>
        <w:pBdr>
          <w:bottom w:val="single" w:color="E8E8E8" w:sz="4"/>
        </w:pBdr>
        <w:spacing w:after="120" w:before="120"/>
      </w:pPr>
    </w:p>
    <w:p>
      <w:pPr>
        <w:pStyle w:val="Heading1"/>
        <w:pageBreakBefore/>
        <w:spacing w:after="200" w:before="480"/>
      </w:pPr>
      <w:r>
        <w:rPr>
          <w:rFonts w:ascii="Arial" w:cs="Arial" w:eastAsia="Arial" w:hAnsi="Arial"/>
          <w:b/>
          <w:bCs/>
          <w:color w:val="0B1222"/>
          <w:sz w:val="36"/>
          <w:szCs w:val="36"/>
        </w:rPr>
        <w:t xml:space="preserve">4.  GDPR: Data Protection Obligations</w:t>
      </w:r>
    </w:p>
    <w:p>
      <w:pPr>
        <w:pStyle w:val="Heading2"/>
        <w:spacing w:after="160" w:before="360"/>
      </w:pPr>
      <w:r>
        <w:rPr>
          <w:rFonts w:ascii="Arial" w:cs="Arial" w:eastAsia="Arial" w:hAnsi="Arial"/>
          <w:b/>
          <w:bCs/>
          <w:color w:val="0B1222"/>
          <w:sz w:val="28"/>
          <w:szCs w:val="28"/>
        </w:rPr>
        <w:t xml:space="preserve">4.1  What Personal Data NomiiAI Processes</w:t>
      </w:r>
    </w:p>
    <w:p>
      <w:pPr>
        <w:spacing w:after="160" w:before="0"/>
        <w:jc w:val="left"/>
      </w:pPr>
      <w:r>
        <w:rPr>
          <w:rFonts w:ascii="Arial" w:cs="Arial" w:eastAsia="Arial" w:hAnsi="Arial"/>
          <w:b w:val="false"/>
          <w:bCs w:val="false"/>
          <w:color w:val="333333"/>
          <w:sz w:val="22"/>
          <w:szCs w:val="22"/>
        </w:rPr>
        <w:t xml:space="preserve">GDPR applies to any processing of personal data about individuals in the EU, regardless of where the processor is located. NomiiAI processes substantial personal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CCCCCC" w:sz="1"/>
              <w:left w:val="single" w:color="CCCCCC" w:sz="1"/>
              <w:bottom w:val="single" w:color="CCCCCC" w:sz="1"/>
              <w:right w:val="single" w:color="CCCCCC" w:sz="1"/>
            </w:tcBorders>
            <w:shd w:fill="0B122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Category</w:t>
            </w:r>
          </w:p>
        </w:tc>
        <w:tc>
          <w:tcPr>
            <w:tcW w:type="dxa" w:w="3960"/>
            <w:tcBorders>
              <w:top w:val="single" w:color="CCCCCC" w:sz="1"/>
              <w:left w:val="single" w:color="CCCCCC" w:sz="1"/>
              <w:bottom w:val="single" w:color="CCCCCC" w:sz="1"/>
              <w:right w:val="single" w:color="CCCCCC" w:sz="1"/>
            </w:tcBorders>
            <w:shd w:fill="0B122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NomiiAI Stores</w:t>
            </w:r>
          </w:p>
        </w:tc>
        <w:tc>
          <w:tcPr>
            <w:tcW w:type="dxa" w:w="3000"/>
            <w:tcBorders>
              <w:top w:val="single" w:color="CCCCCC" w:sz="1"/>
              <w:left w:val="single" w:color="CCCCCC" w:sz="1"/>
              <w:bottom w:val="single" w:color="CCCCCC" w:sz="1"/>
              <w:right w:val="single" w:color="CCCCCC" w:sz="1"/>
            </w:tcBorders>
            <w:shd w:fill="0B122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GDPR Sensitivity</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Identity</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Customer first name, last name, email address</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E67E22"/>
                <w:sz w:val="20"/>
                <w:szCs w:val="20"/>
              </w:rPr>
              <w:t xml:space="preserve">Standard personal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Conversation History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Full transcript of every message exchanged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0392B"/>
                <w:sz w:val="20"/>
                <w:szCs w:val="20"/>
              </w:rPr>
              <w:t xml:space="preserve">Personal data — may reveal health, beliefs, finances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Soul File</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Personality traits, interests, preferences, life details, inferred from conversations</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C0392B"/>
                <w:sz w:val="20"/>
                <w:szCs w:val="20"/>
              </w:rPr>
              <w:t xml:space="preserve">HIGHLY sensitive — behavioural profile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Memory File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Session summaries, agent notes, topics discussed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E67E22"/>
                <w:sz w:val="20"/>
                <w:szCs w:val="20"/>
              </w:rPr>
              <w:t xml:space="preserve">Personal data — longitudinal record</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Onboarding Status</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Customer journey stage, last interaction date</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1E8449"/>
                <w:sz w:val="20"/>
                <w:szCs w:val="20"/>
              </w:rPr>
              <w:t xml:space="preserve">Standard personal data</w:t>
            </w:r>
          </w:p>
        </w:tc>
      </w:tr>
    </w:tbl>
    <w:p>
      <w:pPr>
        <w:spacing w:after="160" w:before="160"/>
        <w:jc w:val="left"/>
      </w:pPr>
      <w:r>
        <w:rPr>
          <w:rFonts w:ascii="Arial" w:cs="Arial" w:eastAsia="Arial" w:hAnsi="Arial"/>
          <w:b w:val="false"/>
          <w:bCs w:val="false"/>
          <w:color w:val="333333"/>
          <w:sz w:val="22"/>
          <w:szCs w:val="22"/>
        </w:rPr>
        <w:t xml:space="preserve">The Soul File is the most legally sensitive element. It is a structured behavioural profile built by an AI from repeated interactions. Under GDPR Article 22, automated profiling that produces legal or similarly significant effects on individuals requires either explicit consent or specific safeguards. NomiiAI must clearly document why this profiling is lawful.</w:t>
      </w:r>
    </w:p>
    <w:p>
      <w:pPr>
        <w:pStyle w:val="Heading2"/>
        <w:spacing w:after="160" w:before="360"/>
      </w:pPr>
      <w:r>
        <w:rPr>
          <w:rFonts w:ascii="Arial" w:cs="Arial" w:eastAsia="Arial" w:hAnsi="Arial"/>
          <w:b/>
          <w:bCs/>
          <w:color w:val="0B1222"/>
          <w:sz w:val="28"/>
          <w:szCs w:val="28"/>
        </w:rPr>
        <w:t xml:space="preserve">4.2  Lawful Basis for Processing</w:t>
      </w:r>
    </w:p>
    <w:p>
      <w:pPr>
        <w:spacing w:after="160" w:before="0"/>
        <w:jc w:val="left"/>
      </w:pPr>
      <w:r>
        <w:rPr>
          <w:rFonts w:ascii="Arial" w:cs="Arial" w:eastAsia="Arial" w:hAnsi="Arial"/>
          <w:b w:val="false"/>
          <w:bCs w:val="false"/>
          <w:color w:val="333333"/>
          <w:sz w:val="22"/>
          <w:szCs w:val="22"/>
        </w:rPr>
        <w:t xml:space="preserve">Every processing activity requires a documented lawful basis under GDPR Article 6. NomiiAI currently has no published documentation of its lawful bases. The most likely applicable bases are:</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Legitimate Interests (Art. 6(1)(f)) — for processing necessary to provide the chat service. Requires a Legitimate Interests Assessment (LIA) to be documented.</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Contract Performance (Art. 6(1)(b)) — for processing necessary to carry out the service the end customer uses.</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Consent (Art. 6(1)(a)) — if NomiiAI wants to rely on this for profiling/Soul File creation, it must obtain clear, specific, informed consent before processing begins. Pre-ticked boxes and buried terms do not count.</w:t>
      </w:r>
    </w:p>
    <w:p>
      <w:pPr>
        <w:spacing w:after="160" w:before="120"/>
        <w:jc w:val="left"/>
      </w:pPr>
      <w:r>
        <w:rPr>
          <w:rFonts w:ascii="Arial" w:cs="Arial" w:eastAsia="Arial" w:hAnsi="Arial"/>
          <w:b w:val="false"/>
          <w:bCs w:val="false"/>
          <w:color w:val="333333"/>
          <w:sz w:val="22"/>
          <w:szCs w:val="22"/>
        </w:rPr>
        <w:t xml:space="preserve">For the Soul File (behavioural profiling), consent is the safest lawful basis. This means adding a clear consent prompt to the widget before the first conversation begins.</w:t>
      </w:r>
    </w:p>
    <w:p>
      <w:pPr>
        <w:pStyle w:val="Heading2"/>
        <w:spacing w:after="160" w:before="360"/>
      </w:pPr>
      <w:r>
        <w:rPr>
          <w:rFonts w:ascii="Arial" w:cs="Arial" w:eastAsia="Arial" w:hAnsi="Arial"/>
          <w:b/>
          <w:bCs/>
          <w:color w:val="0B1222"/>
          <w:sz w:val="28"/>
          <w:szCs w:val="28"/>
        </w:rPr>
        <w:t xml:space="preserve">4.3  Data Retention Policy (Critical Gap)</w:t>
      </w:r>
    </w:p>
    <w:p>
      <w:pPr>
        <w:spacing w:after="160" w:before="0"/>
        <w:jc w:val="left"/>
      </w:pPr>
      <w:r>
        <w:rPr>
          <w:rFonts w:ascii="Arial" w:cs="Arial" w:eastAsia="Arial" w:hAnsi="Arial"/>
          <w:b w:val="false"/>
          <w:bCs w:val="false"/>
          <w:color w:val="333333"/>
          <w:sz w:val="22"/>
          <w:szCs w:val="22"/>
        </w:rPr>
        <w:t xml:space="preserve">GDPR Article 5(1)(e) requires that personal data not be kept longer than necessary for the purpose it was collected. NomiiAI currently has no documented retention periods. Conversations and Soul/Memory files appear to be stored indefinitely.</w:t>
      </w:r>
    </w:p>
    <w:p>
      <w:pPr>
        <w:spacing w:after="160" w:before="120"/>
        <w:jc w:val="left"/>
      </w:pPr>
      <w:r>
        <w:rPr>
          <w:rFonts w:ascii="Arial" w:cs="Arial" w:eastAsia="Arial" w:hAnsi="Arial"/>
          <w:b/>
          <w:bCs/>
          <w:color w:val="333333"/>
          <w:sz w:val="22"/>
          <w:szCs w:val="22"/>
        </w:rPr>
        <w:t xml:space="preserve">Required action:</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Define retention periods for each data category — e.g., conversations archived after 12 months, Soul File reset after 24 months of inactivity.</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Build auto-purge functionality in the backend so retention is enforced automatically, not manually.</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Document and publish the retention policy in the Privacy Policy.</w:t>
      </w:r>
    </w:p>
    <w:p>
      <w:pPr>
        <w:pStyle w:val="Heading2"/>
        <w:spacing w:after="160" w:before="360"/>
      </w:pPr>
      <w:r>
        <w:rPr>
          <w:rFonts w:ascii="Arial" w:cs="Arial" w:eastAsia="Arial" w:hAnsi="Arial"/>
          <w:b/>
          <w:bCs/>
          <w:color w:val="0B1222"/>
          <w:sz w:val="28"/>
          <w:szCs w:val="28"/>
        </w:rPr>
        <w:t xml:space="preserve">4.4  Data Subject Rights</w:t>
      </w:r>
    </w:p>
    <w:p>
      <w:pPr>
        <w:spacing w:after="160" w:before="0"/>
        <w:jc w:val="left"/>
      </w:pPr>
      <w:r>
        <w:rPr>
          <w:rFonts w:ascii="Arial" w:cs="Arial" w:eastAsia="Arial" w:hAnsi="Arial"/>
          <w:b w:val="false"/>
          <w:bCs w:val="false"/>
          <w:color w:val="333333"/>
          <w:sz w:val="22"/>
          <w:szCs w:val="22"/>
        </w:rPr>
        <w:t xml:space="preserve">NomiiAI tenants and their customers have the following rights under GDPR. Current status:</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Right to Erasure (Art. 17) — IMPLEMENTED. NomiiAI has a delete customer function that anonymises personal data. This is good.</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Right to Access (Art. 15) — GAP. There is no way for a customer to request and receive a copy of all data NomiiAI holds about them.</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Right to Data Portability (Art. 20) — GAP. Customers should be able to download their data in a machine-readable format.</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Right to Rectification (Art. 16) — PARTIAL. Tenant admins can edit customer records but end customers cannot self-serve corrections.</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Right to Object to Profiling (Art. 21) — GAP. No mechanism exists for an end customer to object to their Soul File being built.</w:t>
      </w:r>
    </w:p>
    <w:p>
      <w:pPr>
        <w:pStyle w:val="Heading2"/>
        <w:spacing w:after="160" w:before="360"/>
      </w:pPr>
      <w:r>
        <w:rPr>
          <w:rFonts w:ascii="Arial" w:cs="Arial" w:eastAsia="Arial" w:hAnsi="Arial"/>
          <w:b/>
          <w:bCs/>
          <w:color w:val="0B1222"/>
          <w:sz w:val="28"/>
          <w:szCs w:val="28"/>
        </w:rPr>
        <w:t xml:space="preserve">4.5  Data Protection Impact Assessment (DPIA)</w:t>
      </w:r>
    </w:p>
    <w:p>
      <w:pPr>
        <w:spacing w:after="160" w:before="0"/>
        <w:jc w:val="left"/>
      </w:pPr>
      <w:r>
        <w:rPr>
          <w:rFonts w:ascii="Arial" w:cs="Arial" w:eastAsia="Arial" w:hAnsi="Arial"/>
          <w:b w:val="false"/>
          <w:bCs w:val="false"/>
          <w:color w:val="333333"/>
          <w:sz w:val="22"/>
          <w:szCs w:val="22"/>
        </w:rPr>
        <w:t xml:space="preserve">GDPR Article 35 requires a DPIA when processing is likely to result in a high risk to individuals' rights and freedoms. Automated profiling on a large scale — which is exactly what the Soul File system does — is one of the listed scenarios triggering a mandatory DPIA.</w:t>
      </w:r>
    </w:p>
    <w:p>
      <w:pPr>
        <w:spacing w:after="160" w:before="120"/>
        <w:jc w:val="left"/>
      </w:pPr>
      <w:r>
        <w:rPr>
          <w:rFonts w:ascii="Arial" w:cs="Arial" w:eastAsia="Arial" w:hAnsi="Arial"/>
          <w:b w:val="false"/>
          <w:bCs w:val="false"/>
          <w:color w:val="333333"/>
          <w:sz w:val="22"/>
          <w:szCs w:val="22"/>
        </w:rPr>
        <w:t xml:space="preserve">NomiiAI must conduct and document a DPIA covering:</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The nature, scope, context, and purposes of the profiling</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The risks to individuals (privacy invasion, inaccurate profiling, discriminatory inferences)</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The measures taken to address those risks</w:t>
      </w:r>
    </w:p>
    <w:p>
      <w:pPr>
        <w:spacing w:after="160" w:before="120"/>
        <w:jc w:val="left"/>
      </w:pPr>
      <w:r>
        <w:rPr>
          <w:rFonts w:ascii="Arial" w:cs="Arial" w:eastAsia="Arial" w:hAnsi="Arial"/>
          <w:b w:val="false"/>
          <w:bCs w:val="false"/>
          <w:color w:val="333333"/>
          <w:sz w:val="22"/>
          <w:szCs w:val="22"/>
        </w:rPr>
        <w:t xml:space="preserve">A DPIA is an internal document. It does not need to be published, but it must be completed before the high-risk processing activity begins at scale. Engaging a data protection lawyer or GDPR consultant for this is strongly recommended.</w:t>
      </w:r>
    </w:p>
    <w:p>
      <w:pPr>
        <w:pStyle w:val="Heading2"/>
        <w:spacing w:after="160" w:before="360"/>
      </w:pPr>
      <w:r>
        <w:rPr>
          <w:rFonts w:ascii="Arial" w:cs="Arial" w:eastAsia="Arial" w:hAnsi="Arial"/>
          <w:b/>
          <w:bCs/>
          <w:color w:val="0B1222"/>
          <w:sz w:val="28"/>
          <w:szCs w:val="28"/>
        </w:rPr>
        <w:t xml:space="preserve">4.6  Privacy Policy (Critical Gap)</w:t>
      </w:r>
    </w:p>
    <w:p>
      <w:pPr>
        <w:spacing w:after="160" w:before="0"/>
        <w:jc w:val="left"/>
      </w:pPr>
      <w:r>
        <w:rPr>
          <w:rFonts w:ascii="Arial" w:cs="Arial" w:eastAsia="Arial" w:hAnsi="Arial"/>
          <w:b w:val="false"/>
          <w:bCs w:val="false"/>
          <w:color w:val="333333"/>
          <w:sz w:val="22"/>
          <w:szCs w:val="22"/>
        </w:rPr>
        <w:t xml:space="preserve">NomiiAI has no published AI-specific Privacy Policy. Under GDPR Articles 13 and 14, individuals must be informed at the time their data is collected about: who is collecting the data, what it is used for, how long it is kept, who it is shared with, what their rights are, and the lawful basis for processing.</w:t>
      </w:r>
    </w:p>
    <w:p>
      <w:pPr>
        <w:spacing w:after="160" w:before="120"/>
        <w:jc w:val="left"/>
      </w:pPr>
      <w:r>
        <w:rPr>
          <w:rFonts w:ascii="Arial" w:cs="Arial" w:eastAsia="Arial" w:hAnsi="Arial"/>
          <w:b w:val="false"/>
          <w:bCs w:val="false"/>
          <w:color w:val="333333"/>
          <w:sz w:val="22"/>
          <w:szCs w:val="22"/>
        </w:rPr>
        <w:t xml:space="preserve">NomiiAI needs two distinct policies:</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A Tenant Privacy Policy — governing the relationship between NomiiAI and its business customers (tenant admins). This should be part of the Terms of Service.</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An End Customer Privacy Notice — a consumer-facing document accessible from within the widget (e.g., a link in the chat window footer: "Privacy Notice") that covers the Soul File, Memory, and conversation data.</w:t>
      </w:r>
    </w:p>
    <w:p>
      <w:pPr>
        <w:pStyle w:val="Heading2"/>
        <w:spacing w:after="160" w:before="360"/>
      </w:pPr>
      <w:r>
        <w:rPr>
          <w:rFonts w:ascii="Arial" w:cs="Arial" w:eastAsia="Arial" w:hAnsi="Arial"/>
          <w:b/>
          <w:bCs/>
          <w:color w:val="0B1222"/>
          <w:sz w:val="28"/>
          <w:szCs w:val="28"/>
        </w:rPr>
        <w:t xml:space="preserve">4.7  Cross-Border Data Transfers</w:t>
      </w:r>
    </w:p>
    <w:p>
      <w:pPr>
        <w:spacing w:after="160" w:before="0"/>
        <w:jc w:val="left"/>
      </w:pPr>
      <w:r>
        <w:rPr>
          <w:rFonts w:ascii="Arial" w:cs="Arial" w:eastAsia="Arial" w:hAnsi="Arial"/>
          <w:b w:val="false"/>
          <w:bCs w:val="false"/>
          <w:color w:val="333333"/>
          <w:sz w:val="22"/>
          <w:szCs w:val="22"/>
        </w:rPr>
        <w:t xml:space="preserve">If NomiiAI's servers are located outside the EU (e.g., in the US), and EU residents' personal data is being stored there, this constitutes a cross-border transfer under GDPR Chapter V. Permitted mechanisms include:</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EU-US Data Privacy Framework (DPF) — the US is currently covered by an adequacy decision, but political uncertainty makes this a risk to monitor.</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Standard Contractual Clauses (SCCs) — the most robust fallback if the DPF is invalidated.</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EU data residency — hosting EU customers' data on EU servers eliminates the problem entirely.</w:t>
      </w:r>
    </w:p>
    <w:p>
      <w:pPr>
        <w:spacing w:after="160" w:before="120"/>
        <w:jc w:val="left"/>
      </w:pPr>
      <w:r>
        <w:rPr>
          <w:rFonts w:ascii="Arial" w:cs="Arial" w:eastAsia="Arial" w:hAnsi="Arial"/>
          <w:b w:val="false"/>
          <w:bCs w:val="false"/>
          <w:color w:val="333333"/>
          <w:sz w:val="22"/>
          <w:szCs w:val="22"/>
        </w:rPr>
        <w:t xml:space="preserve">NomiiAI should clarify its hosting infrastructure and, if serving EU customers from US servers, either implement SCCs or move EU data to an EU region.</w:t>
      </w:r>
    </w:p>
    <w:p>
      <w:pPr>
        <w:pBdr>
          <w:bottom w:val="single" w:color="E8E8E8" w:sz="4"/>
        </w:pBdr>
        <w:spacing w:after="120" w:before="120"/>
      </w:pPr>
    </w:p>
    <w:p>
      <w:pPr>
        <w:pStyle w:val="Heading1"/>
        <w:pageBreakBefore/>
        <w:spacing w:after="200" w:before="480"/>
      </w:pPr>
      <w:r>
        <w:rPr>
          <w:rFonts w:ascii="Arial" w:cs="Arial" w:eastAsia="Arial" w:hAnsi="Arial"/>
          <w:b/>
          <w:bCs/>
          <w:color w:val="0B1222"/>
          <w:sz w:val="36"/>
          <w:szCs w:val="36"/>
        </w:rPr>
        <w:t xml:space="preserve">5.  US Regulations</w:t>
      </w:r>
    </w:p>
    <w:p>
      <w:pPr>
        <w:pStyle w:val="Heading2"/>
        <w:spacing w:after="160" w:before="360"/>
      </w:pPr>
      <w:r>
        <w:rPr>
          <w:rFonts w:ascii="Arial" w:cs="Arial" w:eastAsia="Arial" w:hAnsi="Arial"/>
          <w:b/>
          <w:bCs/>
          <w:color w:val="0B1222"/>
          <w:sz w:val="28"/>
          <w:szCs w:val="28"/>
        </w:rPr>
        <w:t xml:space="preserve">5.1  Federal Level — No Comprehensive AI Law (Yet)</w:t>
      </w:r>
    </w:p>
    <w:p>
      <w:pPr>
        <w:spacing w:after="160" w:before="0"/>
        <w:jc w:val="left"/>
      </w:pPr>
      <w:r>
        <w:rPr>
          <w:rFonts w:ascii="Arial" w:cs="Arial" w:eastAsia="Arial" w:hAnsi="Arial"/>
          <w:b w:val="false"/>
          <w:bCs w:val="false"/>
          <w:color w:val="333333"/>
          <w:sz w:val="22"/>
          <w:szCs w:val="22"/>
        </w:rPr>
        <w:t xml:space="preserve">The United States does not have a single federal AI law. The Trump administration's December 2025 Executive Order on AI explicitly calls for a "minimally burdensome national policy framework" and directs federal agencies to preempt state AI regulations where possible. This creates a fluid environment, but also means federal law is unlikely to be more burdensome than what states have already enacted.</w:t>
      </w:r>
    </w:p>
    <w:p>
      <w:pPr>
        <w:spacing w:after="160" w:before="120"/>
        <w:jc w:val="left"/>
      </w:pPr>
      <w:r>
        <w:rPr>
          <w:rFonts w:ascii="Arial" w:cs="Arial" w:eastAsia="Arial" w:hAnsi="Arial"/>
          <w:b w:val="false"/>
          <w:bCs w:val="false"/>
          <w:color w:val="333333"/>
          <w:sz w:val="22"/>
          <w:szCs w:val="22"/>
        </w:rPr>
        <w:t xml:space="preserve">Existing federal frameworks that touch NomiiAI include:</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FTC Act Section 5 — The Federal Trade Commission has authority over unfair or deceptive practices in commerce. An AI chatbot that deceives users into thinking they are talking with a human could constitute a deceptive practice under this standard.</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CCPA/CPRA (California Privacy Rights Act) — California's comprehensive privacy law has similar data rights to GDPR: right to know, right to delete, right to opt out of "sale" of personal data. If NomiiAI has California-based customers, CCPA applies.</w:t>
      </w:r>
    </w:p>
    <w:p>
      <w:pPr>
        <w:pStyle w:val="Heading2"/>
        <w:spacing w:after="160" w:before="360"/>
      </w:pPr>
      <w:r>
        <w:rPr>
          <w:rFonts w:ascii="Arial" w:cs="Arial" w:eastAsia="Arial" w:hAnsi="Arial"/>
          <w:b/>
          <w:bCs/>
          <w:color w:val="0B1222"/>
          <w:sz w:val="28"/>
          <w:szCs w:val="28"/>
        </w:rPr>
        <w:t xml:space="preserve">5.2  State Laws — Chatbot Disclosure</w:t>
      </w:r>
    </w:p>
    <w:p>
      <w:pPr>
        <w:pStyle w:val="Heading3"/>
        <w:spacing w:after="120" w:before="240"/>
      </w:pPr>
      <w:r>
        <w:rPr>
          <w:rFonts w:ascii="Arial" w:cs="Arial" w:eastAsia="Arial" w:hAnsi="Arial"/>
          <w:b/>
          <w:bCs/>
          <w:color w:val="C9A84C"/>
          <w:sz w:val="24"/>
          <w:szCs w:val="24"/>
        </w:rPr>
        <w:t xml:space="preserve">Maine Chatbot Disclosure Act (Effective September 2025)</w:t>
      </w:r>
    </w:p>
    <w:p>
      <w:pPr>
        <w:spacing w:after="160" w:before="0"/>
        <w:jc w:val="left"/>
      </w:pPr>
      <w:r>
        <w:rPr>
          <w:rFonts w:ascii="Arial" w:cs="Arial" w:eastAsia="Arial" w:hAnsi="Arial"/>
          <w:b w:val="false"/>
          <w:bCs w:val="false"/>
          <w:color w:val="333333"/>
          <w:sz w:val="22"/>
          <w:szCs w:val="22"/>
        </w:rPr>
        <w:t xml:space="preserve">Maine requires businesses using AI chatbots to notify consumers that they are not interacting with a live human, when a reasonable consumer could not tell the difference. This is already in effect. However, the law's enforceability and scope (particularly regarding customer service bots) is still being tested. The fix — disclosing AI status in the widget — resolves this simultaneously with the EU AI Act obligation.</w:t>
      </w:r>
    </w:p>
    <w:p>
      <w:pPr>
        <w:pStyle w:val="Heading3"/>
        <w:spacing w:after="120" w:before="240"/>
      </w:pPr>
      <w:r>
        <w:rPr>
          <w:rFonts w:ascii="Arial" w:cs="Arial" w:eastAsia="Arial" w:hAnsi="Arial"/>
          <w:b/>
          <w:bCs/>
          <w:color w:val="C9A84C"/>
          <w:sz w:val="24"/>
          <w:szCs w:val="24"/>
        </w:rPr>
        <w:t xml:space="preserve">New York AI Companion Law (Effective November 2025)</w:t>
      </w:r>
    </w:p>
    <w:p>
      <w:pPr>
        <w:spacing w:after="160" w:before="0"/>
        <w:jc w:val="left"/>
      </w:pPr>
      <w:r>
        <w:rPr>
          <w:rFonts w:ascii="Arial" w:cs="Arial" w:eastAsia="Arial" w:hAnsi="Arial"/>
          <w:b w:val="false"/>
          <w:bCs w:val="false"/>
          <w:color w:val="333333"/>
          <w:sz w:val="22"/>
          <w:szCs w:val="22"/>
        </w:rPr>
        <w:t xml:space="preserve">New York's law targets AI companion apps, not customer service chatbots. NomiiAI agents have a defined commercial purpose (selling products/services, answering questions) rather than simulating emotional companionship. This law is very unlikely to apply. However, if any NomiiAI tenant configures their agent in a way that mimics a personal companion relationship, they may carry exposure.</w:t>
      </w:r>
    </w:p>
    <w:p>
      <w:pPr>
        <w:pStyle w:val="Heading3"/>
        <w:spacing w:after="120" w:before="240"/>
      </w:pPr>
      <w:r>
        <w:rPr>
          <w:rFonts w:ascii="Arial" w:cs="Arial" w:eastAsia="Arial" w:hAnsi="Arial"/>
          <w:b/>
          <w:bCs/>
          <w:color w:val="C9A84C"/>
          <w:sz w:val="24"/>
          <w:szCs w:val="24"/>
        </w:rPr>
        <w:t xml:space="preserve">California SB 243 — Companion Chatbot Act (Effective January 2026)</w:t>
      </w:r>
    </w:p>
    <w:p>
      <w:pPr>
        <w:spacing w:after="160" w:before="0"/>
        <w:jc w:val="left"/>
      </w:pPr>
      <w:r>
        <w:rPr>
          <w:rFonts w:ascii="Arial" w:cs="Arial" w:eastAsia="Arial" w:hAnsi="Arial"/>
          <w:b w:val="false"/>
          <w:bCs w:val="false"/>
          <w:color w:val="333333"/>
          <w:sz w:val="22"/>
          <w:szCs w:val="22"/>
        </w:rPr>
        <w:t xml:space="preserve">SB 243 explicitly exempts commercial and technical bots. Customer service chatbots used for business purposes — selling products, answering questions, handling support — fall squarely in this exemption. NomiiAI does not need to take any action for SB 243 compliance beyond confirming its agents are commercially purposed.</w:t>
      </w:r>
    </w:p>
    <w:p>
      <w:pPr>
        <w:pStyle w:val="Heading3"/>
        <w:spacing w:after="120" w:before="240"/>
      </w:pPr>
      <w:r>
        <w:rPr>
          <w:rFonts w:ascii="Arial" w:cs="Arial" w:eastAsia="Arial" w:hAnsi="Arial"/>
          <w:b/>
          <w:bCs/>
          <w:color w:val="C9A84C"/>
          <w:sz w:val="24"/>
          <w:szCs w:val="24"/>
        </w:rPr>
        <w:t xml:space="preserve">Colorado AI Act (SB 24-205, Effective June 2026)</w:t>
      </w:r>
    </w:p>
    <w:p>
      <w:pPr>
        <w:spacing w:after="160" w:before="0"/>
        <w:jc w:val="left"/>
      </w:pPr>
      <w:r>
        <w:rPr>
          <w:rFonts w:ascii="Arial" w:cs="Arial" w:eastAsia="Arial" w:hAnsi="Arial"/>
          <w:b w:val="false"/>
          <w:bCs w:val="false"/>
          <w:color w:val="333333"/>
          <w:sz w:val="22"/>
          <w:szCs w:val="22"/>
        </w:rPr>
        <w:t xml:space="preserve">Colorado's law focuses on "high-risk AI systems" that make consequential decisions about consumers — employment, credit, healthcare, housing, legal services, education. A chatbot helping a customer choose a product or answer a FAQ does not constitute a consequential decision. NomiiAI agents are not high-risk under the Colorado Act, and no specific action is required.</w:t>
      </w:r>
    </w:p>
    <w:p>
      <w:pPr>
        <w:pStyle w:val="Heading3"/>
        <w:spacing w:after="120" w:before="240"/>
      </w:pPr>
      <w:r>
        <w:rPr>
          <w:rFonts w:ascii="Arial" w:cs="Arial" w:eastAsia="Arial" w:hAnsi="Arial"/>
          <w:b/>
          <w:bCs/>
          <w:color w:val="C9A84C"/>
          <w:sz w:val="24"/>
          <w:szCs w:val="24"/>
        </w:rPr>
        <w:t xml:space="preserve">Broader State Landscape (78 bills across 27 states in 2026)</w:t>
      </w:r>
    </w:p>
    <w:p>
      <w:pPr>
        <w:spacing w:after="160" w:before="0"/>
        <w:jc w:val="left"/>
      </w:pPr>
      <w:r>
        <w:rPr>
          <w:rFonts w:ascii="Arial" w:cs="Arial" w:eastAsia="Arial" w:hAnsi="Arial"/>
          <w:b w:val="false"/>
          <w:bCs w:val="false"/>
          <w:color w:val="333333"/>
          <w:sz w:val="22"/>
          <w:szCs w:val="22"/>
        </w:rPr>
        <w:t xml:space="preserve">As of early 2026, 27 US states are advancing chatbot-related legislation. The overwhelming focus is on companion chatbots, youth protection, and AI transparency disclosure. The common thread that applies to NomiiAI across all of them is the same as the EU AI Act Article 50 obligation: disclose that the user is talking to an AI. Solving this once in the widget resolves compliance with the vast majority of US state disclosure requirements simultaneously.</w:t>
      </w:r>
    </w:p>
    <w:p>
      <w:pPr>
        <w:pBdr>
          <w:bottom w:val="single" w:color="E8E8E8" w:sz="4"/>
        </w:pBdr>
        <w:spacing w:after="120" w:before="120"/>
      </w:pPr>
    </w:p>
    <w:p>
      <w:pPr>
        <w:pStyle w:val="Heading1"/>
        <w:pageBreakBefore/>
        <w:spacing w:after="200" w:before="480"/>
      </w:pPr>
      <w:r>
        <w:rPr>
          <w:rFonts w:ascii="Arial" w:cs="Arial" w:eastAsia="Arial" w:hAnsi="Arial"/>
          <w:b/>
          <w:bCs/>
          <w:color w:val="0B1222"/>
          <w:sz w:val="36"/>
          <w:szCs w:val="36"/>
        </w:rPr>
        <w:t xml:space="preserve">6.  Full Risk &amp; Priority Matrix</w:t>
      </w:r>
    </w:p>
    <w:p>
      <w:pPr>
        <w:spacing w:after="160" w:before="0"/>
        <w:jc w:val="left"/>
      </w:pPr>
      <w:r>
        <w:rPr>
          <w:rFonts w:ascii="Arial" w:cs="Arial" w:eastAsia="Arial" w:hAnsi="Arial"/>
          <w:b w:val="false"/>
          <w:bCs w:val="false"/>
          <w:color w:val="333333"/>
          <w:sz w:val="22"/>
          <w:szCs w:val="22"/>
        </w:rPr>
        <w:t xml:space="preserve">The table below summarises every applicable regulation, its priority level for NomiiAI, and the specific implication:</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60"/>
        <w:gridCol w:w="1200"/>
        <w:gridCol w:w="3800"/>
      </w:tblGrid>
      <w:tr>
        <w:trPr>
          <w:tblHeader/>
        </w:trPr>
        <w:tc>
          <w:tcPr>
            <w:tcW w:type="dxa" w:w="3000"/>
            <w:tcBorders>
              <w:top w:val="single" w:color="CCCCCC" w:sz="1"/>
              <w:left w:val="single" w:color="CCCCCC" w:sz="1"/>
              <w:bottom w:val="single" w:color="CCCCCC" w:sz="1"/>
              <w:right w:val="single" w:color="CCCCCC" w:sz="1"/>
            </w:tcBorders>
            <w:shd w:fill="0B122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Regulation / Obligation</w:t>
            </w:r>
          </w:p>
        </w:tc>
        <w:tc>
          <w:tcPr>
            <w:tcW w:type="dxa" w:w="1360"/>
            <w:tcBorders>
              <w:top w:val="single" w:color="CCCCCC" w:sz="1"/>
              <w:left w:val="single" w:color="CCCCCC" w:sz="1"/>
              <w:bottom w:val="single" w:color="CCCCCC" w:sz="1"/>
              <w:right w:val="single" w:color="CCCCCC" w:sz="1"/>
            </w:tcBorders>
            <w:shd w:fill="0B122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0B122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Deadline</w:t>
            </w:r>
          </w:p>
        </w:tc>
        <w:tc>
          <w:tcPr>
            <w:tcW w:type="dxa" w:w="3800"/>
            <w:tcBorders>
              <w:top w:val="single" w:color="CCCCCC" w:sz="1"/>
              <w:left w:val="single" w:color="CCCCCC" w:sz="1"/>
              <w:bottom w:val="single" w:color="CCCCCC" w:sz="1"/>
              <w:right w:val="single" w:color="CCCCCC" w:sz="1"/>
            </w:tcBorders>
            <w:shd w:fill="0B122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NomiiAI Implication</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EU AI Act – Article 50 Transparency</w:t>
            </w:r>
          </w:p>
        </w:tc>
        <w:tc>
          <w:tcPr>
            <w:tcW w:type="dxa" w:w="13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LIMITED RISK</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Aug 2026</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Chatbot must identify itself as AI to users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GDPR – Personal Data Processing</w:t>
            </w:r>
          </w:p>
        </w:tc>
        <w:tc>
          <w:tcPr>
            <w:tcW w:type="dxa" w:w="13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 PRIORITY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Now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Soul &amp; Memory files are rich personal data profiles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GDPR – Data Retention Policy</w:t>
            </w:r>
          </w:p>
        </w:tc>
        <w:tc>
          <w:tcPr>
            <w:tcW w:type="dxa" w:w="13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 PRIORITY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Now</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No defined retention period for conversations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GDPR – Data Subject Rights</w:t>
            </w:r>
          </w:p>
        </w:tc>
        <w:tc>
          <w:tcPr>
            <w:tcW w:type="dxa" w:w="13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Now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Right to erasure exists; export/portability gap</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GDPR – DPIA Required</w:t>
            </w:r>
          </w:p>
        </w:tc>
        <w:tc>
          <w:tcPr>
            <w:tcW w:type="dxa" w:w="13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Now</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Scale of profiling warrants a formal impact assessment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GDPR – Cross-Border Transfers</w:t>
            </w:r>
          </w:p>
        </w:tc>
        <w:tc>
          <w:tcPr>
            <w:tcW w:type="dxa" w:w="13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Now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EU customer data must stay in or be adequately protected</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EU AI Act – AI Literacy (Staff)</w:t>
            </w:r>
          </w:p>
        </w:tc>
        <w:tc>
          <w:tcPr>
            <w:tcW w:type="dxa" w:w="136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Feb 2025 (past)</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Train staff on AI capabilities and limitations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Maine Chatbot Disclosure Act</w:t>
            </w:r>
          </w:p>
        </w:tc>
        <w:tc>
          <w:tcPr>
            <w:tcW w:type="dxa" w:w="136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Sep 2025 (past)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Disclose AI in chat; exemptions may apply</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California SB 243 (Companion Chatbot)</w:t>
            </w:r>
          </w:p>
        </w:tc>
        <w:tc>
          <w:tcPr>
            <w:tcW w:type="dxa" w:w="1360"/>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 APPLICABLE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Jan 2026</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Customer service bots are EXEMPT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Colorado AI Act (SB 24-205)</w:t>
            </w:r>
          </w:p>
        </w:tc>
        <w:tc>
          <w:tcPr>
            <w:tcW w:type="dxa" w:w="1360"/>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 APPLICABLE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Jun 2026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Customer service bots NOT classified as high-risk</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US Federal AI Law</w:t>
            </w:r>
          </w:p>
        </w:tc>
        <w:tc>
          <w:tcPr>
            <w:tcW w:type="dxa" w:w="1360"/>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MONITOR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Pending</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No federal law yet; state patchwork applies</w:t>
            </w:r>
          </w:p>
        </w:tc>
      </w:tr>
    </w:tbl>
    <w:p>
      <w:pPr>
        <w:pBdr>
          <w:bottom w:val="single" w:color="E8E8E8" w:sz="4"/>
        </w:pBdr>
        <w:spacing w:after="120" w:before="120"/>
      </w:pPr>
    </w:p>
    <w:p>
      <w:pPr>
        <w:pStyle w:val="Heading1"/>
        <w:pageBreakBefore/>
        <w:spacing w:after="200" w:before="480"/>
      </w:pPr>
      <w:r>
        <w:rPr>
          <w:rFonts w:ascii="Arial" w:cs="Arial" w:eastAsia="Arial" w:hAnsi="Arial"/>
          <w:b/>
          <w:bCs/>
          <w:color w:val="0B1222"/>
          <w:sz w:val="36"/>
          <w:szCs w:val="36"/>
        </w:rPr>
        <w:t xml:space="preserve">7.  Prioritised Recommendations</w:t>
      </w:r>
    </w:p>
    <w:p>
      <w:pPr>
        <w:spacing w:after="160" w:before="0"/>
        <w:jc w:val="left"/>
      </w:pPr>
      <w:r>
        <w:rPr>
          <w:rFonts w:ascii="Arial" w:cs="Arial" w:eastAsia="Arial" w:hAnsi="Arial"/>
          <w:b w:val="false"/>
          <w:bCs w:val="false"/>
          <w:color w:val="333333"/>
          <w:sz w:val="22"/>
          <w:szCs w:val="22"/>
        </w:rPr>
        <w:t xml:space="preserve">The following actions are listed in recommended order of execution. All items marked HIGH should be completed before August 2026 at the latest; most should be completed well before that given GDPR's immediate applicability.</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80"/>
        <w:gridCol w:w="960"/>
        <w:gridCol w:w="1200"/>
        <w:gridCol w:w="1200"/>
        <w:gridCol w:w="2760"/>
      </w:tblGrid>
      <w:tr>
        <w:trPr>
          <w:tblHeader/>
        </w:trPr>
        <w:tc>
          <w:tcPr>
            <w:tcW w:type="dxa" w:w="360"/>
            <w:tcBorders>
              <w:top w:val="single" w:color="CCCCCC" w:sz="1"/>
              <w:left w:val="single" w:color="CCCCCC" w:sz="1"/>
              <w:bottom w:val="single" w:color="CCCCCC" w:sz="1"/>
              <w:right w:val="single" w:color="CCCCCC" w:sz="1"/>
            </w:tcBorders>
            <w:shd w:fill="0B122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880"/>
            <w:tcBorders>
              <w:top w:val="single" w:color="CCCCCC" w:sz="1"/>
              <w:left w:val="single" w:color="CCCCCC" w:sz="1"/>
              <w:bottom w:val="single" w:color="CCCCCC" w:sz="1"/>
              <w:right w:val="single" w:color="CCCCCC" w:sz="1"/>
            </w:tcBorders>
            <w:shd w:fill="0B122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960"/>
            <w:tcBorders>
              <w:top w:val="single" w:color="CCCCCC" w:sz="1"/>
              <w:left w:val="single" w:color="CCCCCC" w:sz="1"/>
              <w:bottom w:val="single" w:color="CCCCCC" w:sz="1"/>
              <w:right w:val="single" w:color="CCCCCC" w:sz="1"/>
            </w:tcBorders>
            <w:shd w:fill="0B122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0B122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c>
          <w:tcPr>
            <w:tcW w:type="dxa" w:w="1200"/>
            <w:tcBorders>
              <w:top w:val="single" w:color="CCCCCC" w:sz="1"/>
              <w:left w:val="single" w:color="CCCCCC" w:sz="1"/>
              <w:bottom w:val="single" w:color="CCCCCC" w:sz="1"/>
              <w:right w:val="single" w:color="CCCCCC" w:sz="1"/>
            </w:tcBorders>
            <w:shd w:fill="0B122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2760"/>
            <w:tcBorders>
              <w:top w:val="single" w:color="CCCCCC" w:sz="1"/>
              <w:left w:val="single" w:color="CCCCCC" w:sz="1"/>
              <w:bottom w:val="single" w:color="CCCCCC" w:sz="1"/>
              <w:right w:val="single" w:color="CCCCCC" w:sz="1"/>
            </w:tcBorders>
            <w:shd w:fill="0B122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Legal Basis</w:t>
            </w:r>
          </w:p>
        </w:tc>
      </w:tr>
      <w:tr>
        <w:tc>
          <w:tcPr>
            <w:tcW w:type="dxa" w:w="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bCs/>
                <w:color w:val="0B1222"/>
                <w:sz w:val="20"/>
                <w:szCs w:val="20"/>
              </w:rPr>
              <w:t xml:space="preserve">1</w:t>
            </w:r>
          </w:p>
        </w:tc>
        <w:tc>
          <w:tcPr>
            <w:tcW w:type="dxa" w:w="28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Add AI disclosure banner to widget</w:t>
            </w:r>
          </w:p>
        </w:tc>
        <w:tc>
          <w:tcPr>
            <w:tcW w:type="dxa" w:w="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Immediately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1 day dev</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EU AI Act Art.50, Maine law</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B1222"/>
                <w:sz w:val="20"/>
                <w:szCs w:val="20"/>
              </w:rPr>
              <w:t xml:space="preserve">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Implement data retention policy &amp; auto-purge</w:t>
            </w:r>
          </w:p>
        </w:tc>
        <w:tc>
          <w:tcPr>
            <w:tcW w:type="dxa" w:w="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1 month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2–3 days dev</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GDPR Art.5(1)(e)</w:t>
            </w:r>
          </w:p>
        </w:tc>
      </w:tr>
      <w:tr>
        <w:tc>
          <w:tcPr>
            <w:tcW w:type="dxa" w:w="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bCs/>
                <w:color w:val="0B1222"/>
                <w:sz w:val="20"/>
                <w:szCs w:val="20"/>
              </w:rPr>
              <w:t xml:space="preserve">3</w:t>
            </w:r>
          </w:p>
        </w:tc>
        <w:tc>
          <w:tcPr>
            <w:tcW w:type="dxa" w:w="28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Write &amp; publish Privacy Policy (AI-specific)</w:t>
            </w:r>
          </w:p>
        </w:tc>
        <w:tc>
          <w:tcPr>
            <w:tcW w:type="dxa" w:w="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2 weeks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Legal + 1 day dev</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GDPR Art.13/14</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B1222"/>
                <w:sz w:val="20"/>
                <w:szCs w:val="20"/>
              </w:rPr>
              <w:t xml:space="preserve">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Conduct Data Protection Impact Assessment (DPIA)</w:t>
            </w:r>
          </w:p>
        </w:tc>
        <w:tc>
          <w:tcPr>
            <w:tcW w:type="dxa" w:w="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2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Internal/legal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GDPR Art.35</w:t>
            </w:r>
          </w:p>
        </w:tc>
      </w:tr>
      <w:tr>
        <w:tc>
          <w:tcPr>
            <w:tcW w:type="dxa" w:w="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bCs/>
                <w:color w:val="0B1222"/>
                <w:sz w:val="20"/>
                <w:szCs w:val="20"/>
              </w:rPr>
              <w:t xml:space="preserve">5</w:t>
            </w:r>
          </w:p>
        </w:tc>
        <w:tc>
          <w:tcPr>
            <w:tcW w:type="dxa" w:w="28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Add GDPR data export (portability) for tenants</w:t>
            </w:r>
          </w:p>
        </w:tc>
        <w:tc>
          <w:tcPr>
            <w:tcW w:type="dxa" w:w="9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2 months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2 days dev</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GDPR Art.20</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B1222"/>
                <w:sz w:val="20"/>
                <w:szCs w:val="20"/>
              </w:rPr>
              <w:t xml:space="preserve">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Document lawful basis for each data processing activity</w:t>
            </w:r>
          </w:p>
        </w:tc>
        <w:tc>
          <w:tcPr>
            <w:tcW w:type="dxa" w:w="9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1 month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Legal review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GDPR Art.6</w:t>
            </w:r>
          </w:p>
        </w:tc>
      </w:tr>
      <w:tr>
        <w:tc>
          <w:tcPr>
            <w:tcW w:type="dxa" w:w="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bCs/>
                <w:color w:val="0B1222"/>
                <w:sz w:val="20"/>
                <w:szCs w:val="20"/>
              </w:rPr>
              <w:t xml:space="preserve">7</w:t>
            </w:r>
          </w:p>
        </w:tc>
        <w:tc>
          <w:tcPr>
            <w:tcW w:type="dxa" w:w="28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Confirm EU data residency or add SCCs for EU customers</w:t>
            </w:r>
          </w:p>
        </w:tc>
        <w:tc>
          <w:tcPr>
            <w:tcW w:type="dxa" w:w="9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2 months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Infra decision</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GDPR Art.46</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B1222"/>
                <w:sz w:val="20"/>
                <w:szCs w:val="20"/>
              </w:rPr>
              <w:t xml:space="preserve">8</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Add AI literacy section to tenant onboarding docs</w:t>
            </w:r>
          </w:p>
        </w:tc>
        <w:tc>
          <w:tcPr>
            <w:tcW w:type="dxa" w:w="96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3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0.5 day content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EU AI Act Art.4</w:t>
            </w:r>
          </w:p>
        </w:tc>
      </w:tr>
      <w:tr>
        <w:tc>
          <w:tcPr>
            <w:tcW w:type="dxa" w:w="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bCs/>
                <w:color w:val="0B1222"/>
                <w:sz w:val="20"/>
                <w:szCs w:val="20"/>
              </w:rPr>
              <w:t xml:space="preserve">9</w:t>
            </w:r>
          </w:p>
        </w:tc>
        <w:tc>
          <w:tcPr>
            <w:tcW w:type="dxa" w:w="28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Review consent flow in widget for cookie/data consent</w:t>
            </w:r>
          </w:p>
        </w:tc>
        <w:tc>
          <w:tcPr>
            <w:tcW w:type="dxa" w:w="9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2 months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1 day dev</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GDPR Art.7</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B1222"/>
                <w:sz w:val="20"/>
                <w:szCs w:val="20"/>
              </w:rPr>
              <w:t xml:space="preserve">10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Add tenant-facing Terms of Service for AI use</w:t>
            </w:r>
          </w:p>
        </w:tc>
        <w:tc>
          <w:tcPr>
            <w:tcW w:type="dxa" w:w="9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2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Legal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General compliance</w:t>
            </w:r>
          </w:p>
        </w:tc>
      </w:tr>
    </w:tbl>
    <w:p>
      <w:pPr>
        <w:spacing w:after="0" w:before="160"/>
      </w:pPr>
    </w:p>
    <w:p>
      <w:pPr>
        <w:pStyle w:val="Heading2"/>
        <w:spacing w:after="160" w:before="360"/>
      </w:pPr>
      <w:r>
        <w:rPr>
          <w:rFonts w:ascii="Arial" w:cs="Arial" w:eastAsia="Arial" w:hAnsi="Arial"/>
          <w:b/>
          <w:bCs/>
          <w:color w:val="0B1222"/>
          <w:sz w:val="28"/>
          <w:szCs w:val="28"/>
        </w:rPr>
        <w:t xml:space="preserve">7.1  Recommendation Detail: AI Disclosure Banner (Action #1)</w:t>
      </w:r>
    </w:p>
    <w:p>
      <w:pPr>
        <w:spacing w:after="160" w:before="0"/>
        <w:jc w:val="left"/>
      </w:pPr>
      <w:r>
        <w:rPr>
          <w:rFonts w:ascii="Arial" w:cs="Arial" w:eastAsia="Arial" w:hAnsi="Arial"/>
          <w:b w:val="false"/>
          <w:bCs w:val="false"/>
          <w:color w:val="333333"/>
          <w:sz w:val="22"/>
          <w:szCs w:val="22"/>
        </w:rPr>
        <w:t xml:space="preserve">This is a one-day development task that closes the biggest legal exposure. Two changes are needed:</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Backend / Widget: At the start of every new conversation session, auto-insert an opening message from the agent that clearly identifies it as an AI. Example: "Hi! I'm Jerry, an AI assistant powered by NomiiAI. I'm here to help — please remember I'm an AI, not a human agent. How can I help you today?"</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Widget UI: Add a persistent small label in the widget header or chat window: a small robot icon and the text "AI Chat" in the corner. This satisfies the "obvious from context" standard even for returning users who skip the opening message.</w:t>
      </w:r>
    </w:p>
    <w:p>
      <w:pPr>
        <w:spacing w:after="160" w:before="120"/>
        <w:jc w:val="left"/>
      </w:pPr>
      <w:r>
        <w:rPr>
          <w:rFonts w:ascii="Arial" w:cs="Arial" w:eastAsia="Arial" w:hAnsi="Arial"/>
          <w:b w:val="false"/>
          <w:bCs w:val="false"/>
          <w:color w:val="333333"/>
          <w:sz w:val="22"/>
          <w:szCs w:val="22"/>
        </w:rPr>
        <w:t xml:space="preserve">This single change satisfies: EU AI Act Article 50, Maine Chatbot Disclosure Act, NY AI Companion Law (if it were to apply), and the FTC's deceptive practices standard.</w:t>
      </w:r>
    </w:p>
    <w:p>
      <w:pPr>
        <w:pStyle w:val="Heading2"/>
        <w:spacing w:after="160" w:before="360"/>
      </w:pPr>
      <w:r>
        <w:rPr>
          <w:rFonts w:ascii="Arial" w:cs="Arial" w:eastAsia="Arial" w:hAnsi="Arial"/>
          <w:b/>
          <w:bCs/>
          <w:color w:val="0B1222"/>
          <w:sz w:val="28"/>
          <w:szCs w:val="28"/>
        </w:rPr>
        <w:t xml:space="preserve">7.2  Recommendation Detail: GDPR Data Retention (Action #2)</w:t>
      </w:r>
    </w:p>
    <w:p>
      <w:pPr>
        <w:spacing w:after="160" w:before="0"/>
        <w:jc w:val="left"/>
      </w:pPr>
      <w:r>
        <w:rPr>
          <w:rFonts w:ascii="Arial" w:cs="Arial" w:eastAsia="Arial" w:hAnsi="Arial"/>
          <w:b w:val="false"/>
          <w:bCs w:val="false"/>
          <w:color w:val="333333"/>
          <w:sz w:val="22"/>
          <w:szCs w:val="22"/>
        </w:rPr>
        <w:t xml:space="preserve">Suggested retention tiers:</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Active conversations: retained in full for 12 months from last message.</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Archived conversations: summary retained for a further 24 months, then purged.</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Soul &amp; Memory files: retained while a customer account is active + 6 months after last interaction, then anonymised.</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Anonymised/deleted customers: data is already anonymised via the existing delete function — good.</w:t>
      </w:r>
    </w:p>
    <w:p>
      <w:pPr>
        <w:spacing w:after="160" w:before="120"/>
        <w:jc w:val="left"/>
      </w:pPr>
      <w:r>
        <w:rPr>
          <w:rFonts w:ascii="Arial" w:cs="Arial" w:eastAsia="Arial" w:hAnsi="Arial"/>
          <w:b w:val="false"/>
          <w:bCs w:val="false"/>
          <w:color w:val="333333"/>
          <w:sz w:val="22"/>
          <w:szCs w:val="22"/>
        </w:rPr>
        <w:t xml:space="preserve">Implement a nightly cron job in the backend that checks ages and anonymises/purges accordingly. This should be configurable per tenant so EU tenants can apply stricter rules.</w:t>
      </w:r>
    </w:p>
    <w:p>
      <w:pPr>
        <w:pStyle w:val="Heading2"/>
        <w:spacing w:after="160" w:before="360"/>
      </w:pPr>
      <w:r>
        <w:rPr>
          <w:rFonts w:ascii="Arial" w:cs="Arial" w:eastAsia="Arial" w:hAnsi="Arial"/>
          <w:b/>
          <w:bCs/>
          <w:color w:val="0B1222"/>
          <w:sz w:val="28"/>
          <w:szCs w:val="28"/>
        </w:rPr>
        <w:t xml:space="preserve">7.3  Recommendation Detail: Privacy Policy (Action #3)</w:t>
      </w:r>
    </w:p>
    <w:p>
      <w:pPr>
        <w:spacing w:after="160" w:before="0"/>
        <w:jc w:val="left"/>
      </w:pPr>
      <w:r>
        <w:rPr>
          <w:rFonts w:ascii="Arial" w:cs="Arial" w:eastAsia="Arial" w:hAnsi="Arial"/>
          <w:b w:val="false"/>
          <w:bCs w:val="false"/>
          <w:color w:val="333333"/>
          <w:sz w:val="22"/>
          <w:szCs w:val="22"/>
        </w:rPr>
        <w:t xml:space="preserve">A minimal compliant Privacy Policy for NomiiAI must cover:</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Identity and contact details of the data controller (NomiiAI / Ponten Solutions)</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What data is collected (conversation history, Soul File, Memory File, contact details)</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Why it is collected and the lawful basis (Art. 6 basis, e.g., legitimate interests or consent)</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How long it is retained (link to retention policy)</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Who it is shared with (Anthropic for API processing, hosting provider, tenant businesses)</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Data subject rights and how to exercise them (erasure, access, portability, objection)</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Cross-border transfer safeguards (if applicable)</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Contact for a Data Protection Officer or privacy queries</w:t>
      </w:r>
    </w:p>
    <w:p>
      <w:pPr>
        <w:spacing w:after="160" w:before="120"/>
        <w:jc w:val="left"/>
      </w:pPr>
      <w:r>
        <w:rPr>
          <w:rFonts w:ascii="Arial" w:cs="Arial" w:eastAsia="Arial" w:hAnsi="Arial"/>
          <w:b w:val="false"/>
          <w:bCs w:val="false"/>
          <w:color w:val="333333"/>
          <w:sz w:val="22"/>
          <w:szCs w:val="22"/>
        </w:rPr>
        <w:t xml:space="preserve">The policy should be linked from the widget footer and from the tenant dashboard. A lawyer should review the final text.</w:t>
      </w:r>
    </w:p>
    <w:p>
      <w:pPr>
        <w:pBdr>
          <w:bottom w:val="single" w:color="E8E8E8" w:sz="4"/>
        </w:pBdr>
        <w:spacing w:after="120" w:before="120"/>
      </w:pPr>
    </w:p>
    <w:p>
      <w:pPr>
        <w:pStyle w:val="Heading1"/>
        <w:pageBreakBefore/>
        <w:spacing w:after="200" w:before="480"/>
      </w:pPr>
      <w:r>
        <w:rPr>
          <w:rFonts w:ascii="Arial" w:cs="Arial" w:eastAsia="Arial" w:hAnsi="Arial"/>
          <w:b/>
          <w:bCs/>
          <w:color w:val="0B1222"/>
          <w:sz w:val="36"/>
          <w:szCs w:val="36"/>
        </w:rPr>
        <w:t xml:space="preserve">8.  Quick-Wins Checklist</w:t>
      </w:r>
    </w:p>
    <w:p>
      <w:pPr>
        <w:spacing w:after="160" w:before="0"/>
        <w:jc w:val="left"/>
      </w:pPr>
      <w:r>
        <w:rPr>
          <w:rFonts w:ascii="Arial" w:cs="Arial" w:eastAsia="Arial" w:hAnsi="Arial"/>
          <w:b w:val="false"/>
          <w:bCs w:val="false"/>
          <w:color w:val="333333"/>
          <w:sz w:val="22"/>
          <w:szCs w:val="22"/>
        </w:rPr>
        <w:t xml:space="preserve">The items below can be done without legal input and in under a week of development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160"/>
        <w:gridCol w:w="1600"/>
      </w:tblGrid>
      <w:tr>
        <w:trPr>
          <w:tblHeader/>
        </w:trPr>
        <w:tc>
          <w:tcPr>
            <w:tcW w:type="dxa" w:w="600"/>
            <w:tcBorders>
              <w:top w:val="single" w:color="CCCCCC" w:sz="1"/>
              <w:left w:val="single" w:color="CCCCCC" w:sz="1"/>
              <w:bottom w:val="single" w:color="CCCCCC" w:sz="1"/>
              <w:right w:val="single" w:color="CCCCCC" w:sz="1"/>
            </w:tcBorders>
            <w:shd w:fill="0B122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7160"/>
            <w:tcBorders>
              <w:top w:val="single" w:color="CCCCCC" w:sz="1"/>
              <w:left w:val="single" w:color="CCCCCC" w:sz="1"/>
              <w:bottom w:val="single" w:color="CCCCCC" w:sz="1"/>
              <w:right w:val="single" w:color="CCCCCC" w:sz="1"/>
            </w:tcBorders>
            <w:shd w:fill="0B122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1600"/>
            <w:tcBorders>
              <w:top w:val="single" w:color="CCCCCC" w:sz="1"/>
              <w:left w:val="single" w:color="CCCCCC" w:sz="1"/>
              <w:bottom w:val="single" w:color="CCCCCC" w:sz="1"/>
              <w:right w:val="single" w:color="CCCCCC" w:sz="1"/>
            </w:tcBorders>
            <w:shd w:fill="0B122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bCs/>
                <w:color w:val="E67E22"/>
                <w:sz w:val="20"/>
                <w:szCs w:val="20"/>
              </w:rPr>
              <w:t xml:space="preserve">☐</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Add opening AI disclosure message to every new widget conversation</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4 hrs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E67E22"/>
                <w:sz w:val="20"/>
                <w:szCs w:val="20"/>
              </w:rPr>
              <w:t xml:space="preser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Add 'AI Chat' label / icon to widget header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2 hrs</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bCs/>
                <w:color w:val="E67E22"/>
                <w:sz w:val="20"/>
                <w:szCs w:val="20"/>
              </w:rPr>
              <w:t xml:space="preserve">☐</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Add 'Privacy Notice' link in widget footer pointing to privacy policy page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1 hr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E67E22"/>
                <w:sz w:val="20"/>
                <w:szCs w:val="20"/>
              </w:rPr>
              <w:t xml:space="preser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Add human-escalation prompt to widget (e.g., 'Want to speak to a person? Contact us 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3 hrs</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bCs/>
                <w:color w:val="E67E22"/>
                <w:sz w:val="20"/>
                <w:szCs w:val="20"/>
              </w:rPr>
              <w:t xml:space="preserve">☐</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Set CLAUDE_API_KEY and confirm LLM_PROVIDER=claude in .env (already done)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Done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E67E22"/>
                <w:sz w:val="20"/>
                <w:szCs w:val="20"/>
              </w:rPr>
              <w:t xml:space="preser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Rotate the API key exposed in this conversation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15 mins</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bCs/>
                <w:color w:val="E67E22"/>
                <w:sz w:val="20"/>
                <w:szCs w:val="20"/>
              </w:rPr>
              <w:t xml:space="preserve">☐</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Add an internal one-page AI literacy briefing for NomiiAI team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2 hrs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E67E22"/>
                <w:sz w:val="20"/>
                <w:szCs w:val="20"/>
              </w:rPr>
              <w:t xml:space="preser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33333"/>
                <w:sz w:val="20"/>
                <w:szCs w:val="20"/>
              </w:rPr>
              <w:t xml:space="preserve">Draft data retention schedule document (internal)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20"/>
                <w:szCs w:val="20"/>
              </w:rPr>
              <w:t xml:space="preserve">2 hrs</w:t>
            </w:r>
          </w:p>
        </w:tc>
      </w:tr>
    </w:tbl>
    <w:p>
      <w:pPr>
        <w:pBdr>
          <w:bottom w:val="single" w:color="E8E8E8" w:sz="4"/>
        </w:pBdr>
        <w:spacing w:after="120" w:before="120"/>
      </w:pPr>
    </w:p>
    <w:p>
      <w:pPr>
        <w:pStyle w:val="Heading1"/>
        <w:pageBreakBefore/>
        <w:spacing w:after="200" w:before="480"/>
      </w:pPr>
      <w:r>
        <w:rPr>
          <w:rFonts w:ascii="Arial" w:cs="Arial" w:eastAsia="Arial" w:hAnsi="Arial"/>
          <w:b/>
          <w:bCs/>
          <w:color w:val="0B1222"/>
          <w:sz w:val="36"/>
          <w:szCs w:val="36"/>
        </w:rPr>
        <w:t xml:space="preserve">9.  Disclaimer &amp; Next Steps</w:t>
      </w:r>
    </w:p>
    <w:p>
      <w:pPr>
        <w:spacing w:after="160" w:before="0"/>
        <w:jc w:val="left"/>
      </w:pPr>
      <w:r>
        <w:rPr>
          <w:rFonts w:ascii="Arial" w:cs="Arial" w:eastAsia="Arial" w:hAnsi="Arial"/>
          <w:b w:val="false"/>
          <w:bCs w:val="false"/>
          <w:color w:val="333333"/>
          <w:sz w:val="22"/>
          <w:szCs w:val="22"/>
        </w:rPr>
        <w:t xml:space="preserve">This document is AI-generated research based on publicly available regulatory texts and legal commentary as of March 2026. It is not legal advice and does not create an attorney-client relationship. Laws change rapidly in the AI space, and interpretations are still being developed by regulators.</w:t>
      </w:r>
    </w:p>
    <w:p>
      <w:pPr>
        <w:spacing w:after="160" w:before="160"/>
        <w:jc w:val="left"/>
      </w:pPr>
      <w:r>
        <w:rPr>
          <w:rFonts w:ascii="Arial" w:cs="Arial" w:eastAsia="Arial" w:hAnsi="Arial"/>
          <w:b w:val="false"/>
          <w:bCs w:val="false"/>
          <w:color w:val="333333"/>
          <w:sz w:val="22"/>
          <w:szCs w:val="22"/>
        </w:rPr>
        <w:t xml:space="preserve">Recommended next steps:</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Share this report with your lawyer as a starting-point briefing document.</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Engage a specialist EU data protection lawyer to draft the Privacy Policy and conduct the DPIA.</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Prioritise the AI disclosure banner in the widget — it is the fastest fix with the highest legal impact.</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Rotate the Anthropic API key that was shared in chat.</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Revisit this analysis in Q3 2026 as the August 2026 EU AI Act enforcement deadline approaches.</w:t>
      </w:r>
    </w:p>
    <w:p>
      <w:pPr>
        <w:spacing w:after="160" w:before="240"/>
        <w:jc w:val="left"/>
      </w:pPr>
      <w:r>
        <w:rPr>
          <w:rFonts w:ascii="Arial" w:cs="Arial" w:eastAsia="Arial" w:hAnsi="Arial"/>
          <w:b/>
          <w:bCs/>
          <w:color w:val="333333"/>
          <w:sz w:val="22"/>
          <w:szCs w:val="22"/>
        </w:rPr>
        <w:t xml:space="preserve">Sources used in this research:</w:t>
      </w:r>
    </w:p>
    <w:p>
      <w:pPr>
        <w:spacing w:after="60" w:before="60"/>
      </w:pPr>
      <w:r>
        <w:rPr>
          <w:rFonts w:ascii="Arial" w:cs="Arial" w:eastAsia="Arial" w:hAnsi="Arial"/>
          <w:color w:val="666666"/>
          <w:sz w:val="20"/>
          <w:szCs w:val="20"/>
        </w:rPr>
        <w:t xml:space="preserve">• </w:t>
      </w:r>
      <w:hyperlink w:history="1" r:id="rIdgi6fy0cf-z82soro-9i4x">
        <w:r>
          <w:rPr>
            <w:rStyle w:val="Hyperlink"/>
            <w:rFonts w:ascii="Arial" w:cs="Arial" w:eastAsia="Arial" w:hAnsi="Arial"/>
            <w:sz w:val="20"/>
            <w:szCs w:val="20"/>
          </w:rPr>
          <w:t xml:space="preserve">EU AI Act – High-level Summary</w:t>
        </w:r>
      </w:hyperlink>
    </w:p>
    <w:p>
      <w:pPr>
        <w:spacing w:after="60" w:before="60"/>
      </w:pPr>
      <w:r>
        <w:rPr>
          <w:rFonts w:ascii="Arial" w:cs="Arial" w:eastAsia="Arial" w:hAnsi="Arial"/>
          <w:color w:val="666666"/>
          <w:sz w:val="20"/>
          <w:szCs w:val="20"/>
        </w:rPr>
        <w:t xml:space="preserve">• </w:t>
      </w:r>
      <w:hyperlink w:history="1" r:id="rIdkfyqsjth_sa7sgr1cjyv0">
        <w:r>
          <w:rPr>
            <w:rStyle w:val="Hyperlink"/>
            <w:rFonts w:ascii="Arial" w:cs="Arial" w:eastAsia="Arial" w:hAnsi="Arial"/>
            <w:sz w:val="20"/>
            <w:szCs w:val="20"/>
          </w:rPr>
          <w:t xml:space="preserve">EU AI Act 2026 Compliance Guide – SecurePrivacy</w:t>
        </w:r>
      </w:hyperlink>
    </w:p>
    <w:p>
      <w:pPr>
        <w:spacing w:after="60" w:before="60"/>
      </w:pPr>
      <w:r>
        <w:rPr>
          <w:rFonts w:ascii="Arial" w:cs="Arial" w:eastAsia="Arial" w:hAnsi="Arial"/>
          <w:color w:val="666666"/>
          <w:sz w:val="20"/>
          <w:szCs w:val="20"/>
        </w:rPr>
        <w:t xml:space="preserve">• </w:t>
      </w:r>
      <w:hyperlink w:history="1" r:id="rIdowtd9imzuq4-0wsirg6it">
        <w:r>
          <w:rPr>
            <w:rStyle w:val="Hyperlink"/>
            <w:rFonts w:ascii="Arial" w:cs="Arial" w:eastAsia="Arial" w:hAnsi="Arial"/>
            <w:sz w:val="20"/>
            <w:szCs w:val="20"/>
          </w:rPr>
          <w:t xml:space="preserve">EU AI Act &amp; Chatbots – GetTalkative</w:t>
        </w:r>
      </w:hyperlink>
    </w:p>
    <w:p>
      <w:pPr>
        <w:spacing w:after="60" w:before="60"/>
      </w:pPr>
      <w:r>
        <w:rPr>
          <w:rFonts w:ascii="Arial" w:cs="Arial" w:eastAsia="Arial" w:hAnsi="Arial"/>
          <w:color w:val="666666"/>
          <w:sz w:val="20"/>
          <w:szCs w:val="20"/>
        </w:rPr>
        <w:t xml:space="preserve">• </w:t>
      </w:r>
      <w:hyperlink w:history="1" r:id="rIdxgj4vxepc_eetipypqnve">
        <w:r>
          <w:rPr>
            <w:rStyle w:val="Hyperlink"/>
            <w:rFonts w:ascii="Arial" w:cs="Arial" w:eastAsia="Arial" w:hAnsi="Arial"/>
            <w:sz w:val="20"/>
            <w:szCs w:val="20"/>
          </w:rPr>
          <w:t xml:space="preserve">GDPR-Compliant Chatbot Guide – Quickchat AI</w:t>
        </w:r>
      </w:hyperlink>
    </w:p>
    <w:p>
      <w:pPr>
        <w:spacing w:after="60" w:before="60"/>
      </w:pPr>
      <w:r>
        <w:rPr>
          <w:rFonts w:ascii="Arial" w:cs="Arial" w:eastAsia="Arial" w:hAnsi="Arial"/>
          <w:color w:val="666666"/>
          <w:sz w:val="20"/>
          <w:szCs w:val="20"/>
        </w:rPr>
        <w:t xml:space="preserve">• </w:t>
      </w:r>
      <w:hyperlink w:history="1" r:id="rIdicqcktw5hgsaowrabf2dc">
        <w:r>
          <w:rPr>
            <w:rStyle w:val="Hyperlink"/>
            <w:rFonts w:ascii="Arial" w:cs="Arial" w:eastAsia="Arial" w:hAnsi="Arial"/>
            <w:sz w:val="20"/>
            <w:szCs w:val="20"/>
          </w:rPr>
          <w:t xml:space="preserve">AI Chatbots at the Crossroads – Cooley</w:t>
        </w:r>
      </w:hyperlink>
    </w:p>
    <w:p>
      <w:pPr>
        <w:spacing w:after="60" w:before="60"/>
      </w:pPr>
      <w:r>
        <w:rPr>
          <w:rFonts w:ascii="Arial" w:cs="Arial" w:eastAsia="Arial" w:hAnsi="Arial"/>
          <w:color w:val="666666"/>
          <w:sz w:val="20"/>
          <w:szCs w:val="20"/>
        </w:rPr>
        <w:t xml:space="preserve">• </w:t>
      </w:r>
      <w:hyperlink w:history="1" r:id="rIdvazqyiywmgz-c00hmctf-">
        <w:r>
          <w:rPr>
            <w:rStyle w:val="Hyperlink"/>
            <w:rFonts w:ascii="Arial" w:cs="Arial" w:eastAsia="Arial" w:hAnsi="Arial"/>
            <w:sz w:val="20"/>
            <w:szCs w:val="20"/>
          </w:rPr>
          <w:t xml:space="preserve">US AI Law Update Jan 2026 – Baker Botts</w:t>
        </w:r>
      </w:hyperlink>
    </w:p>
    <w:p>
      <w:pPr>
        <w:spacing w:after="60" w:before="60"/>
      </w:pPr>
      <w:r>
        <w:rPr>
          <w:rFonts w:ascii="Arial" w:cs="Arial" w:eastAsia="Arial" w:hAnsi="Arial"/>
          <w:color w:val="666666"/>
          <w:sz w:val="20"/>
          <w:szCs w:val="20"/>
        </w:rPr>
        <w:t xml:space="preserve">• </w:t>
      </w:r>
      <w:hyperlink w:history="1" r:id="rIdwmveghvr7lx6d6iytbhxe">
        <w:r>
          <w:rPr>
            <w:rStyle w:val="Hyperlink"/>
            <w:rFonts w:ascii="Arial" w:cs="Arial" w:eastAsia="Arial" w:hAnsi="Arial"/>
            <w:sz w:val="20"/>
            <w:szCs w:val="20"/>
          </w:rPr>
          <w:t xml:space="preserve">Colorado AI Act – IAPP</w:t>
        </w:r>
      </w:hyperlink>
    </w:p>
    <w:p>
      <w:pPr>
        <w:spacing w:after="60" w:before="60"/>
      </w:pPr>
      <w:r>
        <w:rPr>
          <w:rFonts w:ascii="Arial" w:cs="Arial" w:eastAsia="Arial" w:hAnsi="Arial"/>
          <w:color w:val="666666"/>
          <w:sz w:val="20"/>
          <w:szCs w:val="20"/>
        </w:rPr>
        <w:t xml:space="preserve">• </w:t>
      </w:r>
      <w:hyperlink w:history="1" r:id="rId01yhpxayvwtnbifyfcqzq">
        <w:r>
          <w:rPr>
            <w:rStyle w:val="Hyperlink"/>
            <w:rFonts w:ascii="Arial" w:cs="Arial" w:eastAsia="Arial" w:hAnsi="Arial"/>
            <w:sz w:val="20"/>
            <w:szCs w:val="20"/>
          </w:rPr>
          <w:t xml:space="preserve">California AI Transparency &amp; SB 243 – Mayer Brown</w:t>
        </w:r>
      </w:hyperlink>
    </w:p>
    <w:p>
      <w:pPr>
        <w:spacing w:after="60" w:before="60"/>
      </w:pPr>
      <w:r>
        <w:rPr>
          <w:rFonts w:ascii="Arial" w:cs="Arial" w:eastAsia="Arial" w:hAnsi="Arial"/>
          <w:color w:val="666666"/>
          <w:sz w:val="20"/>
          <w:szCs w:val="20"/>
        </w:rPr>
        <w:t xml:space="preserve">• </w:t>
      </w:r>
      <w:hyperlink w:history="1" r:id="rIdguwgmshprca_uoag_my73">
        <w:r>
          <w:rPr>
            <w:rStyle w:val="Hyperlink"/>
            <w:rFonts w:ascii="Arial" w:cs="Arial" w:eastAsia="Arial" w:hAnsi="Arial"/>
            <w:sz w:val="20"/>
            <w:szCs w:val="20"/>
          </w:rPr>
          <w:t xml:space="preserve">GPAI Provider Obligations – Skadden</w:t>
        </w:r>
      </w:hyperlink>
    </w:p>
    <w:p>
      <w:pPr>
        <w:spacing w:after="60" w:before="60"/>
      </w:pPr>
      <w:r>
        <w:rPr>
          <w:rFonts w:ascii="Arial" w:cs="Arial" w:eastAsia="Arial" w:hAnsi="Arial"/>
          <w:color w:val="666666"/>
          <w:sz w:val="20"/>
          <w:szCs w:val="20"/>
        </w:rPr>
        <w:t xml:space="preserve">• </w:t>
      </w:r>
      <w:hyperlink w:history="1" r:id="rIdofy44pm2fs_z6ptt82s4d">
        <w:r>
          <w:rPr>
            <w:rStyle w:val="Hyperlink"/>
            <w:rFonts w:ascii="Arial" w:cs="Arial" w:eastAsia="Arial" w:hAnsi="Arial"/>
            <w:sz w:val="20"/>
            <w:szCs w:val="20"/>
          </w:rPr>
          <w:t xml:space="preserve">EU AI Act 6 Steps Before Aug 2026 – Orrick</w:t>
        </w:r>
      </w:hyperlink>
    </w:p>
    <w:p>
      <w:pPr>
        <w:spacing w:after="60" w:before="60"/>
      </w:pPr>
      <w:r>
        <w:rPr>
          <w:rFonts w:ascii="Arial" w:cs="Arial" w:eastAsia="Arial" w:hAnsi="Arial"/>
          <w:color w:val="666666"/>
          <w:sz w:val="20"/>
          <w:szCs w:val="20"/>
        </w:rPr>
        <w:t xml:space="preserve">• </w:t>
      </w:r>
      <w:hyperlink w:history="1" r:id="rId-n6b4o5vrbtqph5newhwx">
        <w:r>
          <w:rPr>
            <w:rStyle w:val="Hyperlink"/>
            <w:rFonts w:ascii="Arial" w:cs="Arial" w:eastAsia="Arial" w:hAnsi="Arial"/>
            <w:sz w:val="20"/>
            <w:szCs w:val="20"/>
          </w:rPr>
          <w:t xml:space="preserve">AI Privacy Rules: GDPR, EU AI Act, US Law – Parloa</w:t>
        </w:r>
      </w:hyperlink>
    </w:p>
    <w:p>
      <w:pPr>
        <w:spacing w:after="60" w:before="60"/>
      </w:pPr>
      <w:r>
        <w:rPr>
          <w:rFonts w:ascii="Arial" w:cs="Arial" w:eastAsia="Arial" w:hAnsi="Arial"/>
          <w:color w:val="666666"/>
          <w:sz w:val="20"/>
          <w:szCs w:val="20"/>
        </w:rPr>
        <w:t xml:space="preserve">• </w:t>
      </w:r>
      <w:hyperlink w:history="1" r:id="rId7kdnqr_pq3dr0hikese-v">
        <w:r>
          <w:rPr>
            <w:rStyle w:val="Hyperlink"/>
            <w:rFonts w:ascii="Arial" w:cs="Arial" w:eastAsia="Arial" w:hAnsi="Arial"/>
            <w:sz w:val="20"/>
            <w:szCs w:val="20"/>
          </w:rPr>
          <w:t xml:space="preserve">State AI Chatbot Regulation 2026 – MultiState AI</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4"/>
      </w:pBdr>
      <w:jc w:val="center"/>
    </w:pPr>
    <w:r>
      <w:rPr>
        <w:rFonts w:ascii="Arial" w:cs="Arial" w:eastAsia="Arial" w:hAnsi="Arial"/>
        <w:color w:val="666666"/>
        <w:sz w:val="18"/>
        <w:szCs w:val="18"/>
      </w:rPr>
      <w:t xml:space="preserve">CONFIDENTIAL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E8" w:sz="4"/>
      </w:pBdr>
      <w:jc w:val="right"/>
    </w:pPr>
    <w:r>
      <w:rPr>
        <w:rFonts w:ascii="Arial" w:cs="Arial" w:eastAsia="Arial" w:hAnsi="Arial"/>
        <w:color w:val="666666"/>
        <w:sz w:val="18"/>
        <w:szCs w:val="18"/>
      </w:rPr>
      <w:t xml:space="preserve">NomiiAI — AI Regulatory Compliance Review</w:t>
    </w:r>
    <w:r>
      <w:rPr>
        <w:rFonts w:ascii="Arial" w:cs="Arial" w:eastAsia="Arial" w:hAnsi="Arial"/>
        <w:color w:val="666666"/>
        <w:sz w:val="18"/>
        <w:szCs w:val="18"/>
      </w:rPr>
      <w:t xml:space="preserv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B1222"/>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B1222"/>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C9A84C"/>
      <w:sz w:val="24"/>
      <w:szCs w:val="24"/>
    </w:rPr>
  </w:style>
  <w:style w:type="paragraph" w:styleId="Hyperlink">
    <w:name w:val="Hyperlink"/>
    <w:basedOn w:val="Normal"/>
    <w:rPr>
      <w:color w:val="2563EB"/>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i6fy0cf-z82soro-9i4x" Type="http://schemas.openxmlformats.org/officeDocument/2006/relationships/hyperlink" Target="https://artificialintelligenceact.eu/high-level-summary/" TargetMode="External"/><Relationship Id="rIdkfyqsjth_sa7sgr1cjyv0" Type="http://schemas.openxmlformats.org/officeDocument/2006/relationships/hyperlink" Target="https://secureprivacy.ai/blog/eu-ai-act-2026-compliance" TargetMode="External"/><Relationship Id="rIdowtd9imzuq4-0wsirg6it" Type="http://schemas.openxmlformats.org/officeDocument/2006/relationships/hyperlink" Target="https://gettalkative.com/info/eu-ai-act-compliance-and-chatbots" TargetMode="External"/><Relationship Id="rIdxgj4vxepc_eetipypqnve" Type="http://schemas.openxmlformats.org/officeDocument/2006/relationships/hyperlink" Target="https://quickchat.ai/post/gdpr-compliant-chatbot-guide" TargetMode="External"/><Relationship Id="rIdicqcktw5hgsaowrabf2dc" Type="http://schemas.openxmlformats.org/officeDocument/2006/relationships/hyperlink" Target="https://www.cooley.com/news/insight/2025/2025-10-21-ai-chatbots-at-the-crossroads-navigating-new-laws-and-compliance-risks" TargetMode="External"/><Relationship Id="rIdvazqyiywmgz-c00hmctf-" Type="http://schemas.openxmlformats.org/officeDocument/2006/relationships/hyperlink" Target="https://www.bakerbotts.com/thought-leadership/publications/2026/january/us-ai-law-update" TargetMode="External"/><Relationship Id="rIdwmveghvr7lx6d6iytbhxe" Type="http://schemas.openxmlformats.org/officeDocument/2006/relationships/hyperlink" Target="https://iapp.org/news/a/the-colorado-ai-act-what-you-need-to-know" TargetMode="External"/><Relationship Id="rId01yhpxayvwtnbifyfcqzq" Type="http://schemas.openxmlformats.org/officeDocument/2006/relationships/hyperlink" Target="https://www.mayerbrown.com/en/insights/publications/2025/10/new-obligations-under-the-california-ai-transparency-act-and-companion-chatbot-law-add-to-the-compliance-list" TargetMode="External"/><Relationship Id="rIdguwgmshprca_uoag_my73" Type="http://schemas.openxmlformats.org/officeDocument/2006/relationships/hyperlink" Target="https://www.skadden.com/insights/publications/2025/08/eus-general-purpose-ai-obligations" TargetMode="External"/><Relationship Id="rIdofy44pm2fs_z6ptt82s4d" Type="http://schemas.openxmlformats.org/officeDocument/2006/relationships/hyperlink" Target="https://www.orrick.com/en/Insights/2025/11/The-EU-AI-Act-6-Steps-to-Take-Before-2-August-2026" TargetMode="External"/><Relationship Id="rId-n6b4o5vrbtqph5newhwx" Type="http://schemas.openxmlformats.org/officeDocument/2006/relationships/hyperlink" Target="https://www.parloa.com/blog/AI-privacy-2026/" TargetMode="External"/><Relationship Id="rId7kdnqr_pq3dr0hikese-v" Type="http://schemas.openxmlformats.org/officeDocument/2006/relationships/hyperlink" Target="https://www.multistate.ai/updates/vol-85-state-ai-chatbot-regulation-laws"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2026-03-16T10:25:45.950Z</dcterms:created>
  <dcterms:modified xsi:type="dcterms:W3CDTF">2026-03-16T10:25:45.950Z</dcterms:modified>
</cp:coreProperties>
</file>

<file path=docProps/custom.xml><?xml version="1.0" encoding="utf-8"?>
<Properties xmlns="http://schemas.openxmlformats.org/officeDocument/2006/custom-properties" xmlns:vt="http://schemas.openxmlformats.org/officeDocument/2006/docPropsVTypes"/>
</file>