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1266825">
            <wp:simplePos x="0" y="0"/>
            <wp:positionH relativeFrom="page">
              <wp:posOffset>635000</wp:posOffset>
            </wp:positionH>
            <wp:positionV relativeFrom="page">
              <wp:posOffset>571500</wp:posOffset>
            </wp:positionV>
            <wp:extent cx="6038850" cy="12668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40" w:before="260" w:line="300"/>
      </w:pPr>
      <w:r>
        <w:rPr>
          <w:rFonts w:ascii="Igra Sans" w:cs="Igra Sans" w:eastAsia="Igra Sans" w:hAnsi="Igra Sans"/>
          <w:b/>
          <w:bCs/>
          <w:caps/>
          <w:color w:val="FFFFFF"/>
          <w:sz w:val="21"/>
          <w:szCs w:val="21"/>
        </w:rPr>
        <w:t xml:space="preserve">BENCHMARK IA · MUNDIAL 2026</w:t>
      </w:r>
    </w:p>
    <w:p>
      <w:pPr>
        <w:spacing w:after="60" w:before="0" w:line="300"/>
      </w:pPr>
      <w:r>
        <w:rPr>
          <w:rFonts w:ascii="Igra Sans" w:cs="Igra Sans" w:eastAsia="Igra Sans" w:hAnsi="Igra Sans"/>
          <w:b/>
          <w:bCs/>
          <w:color w:val="FFFFFF"/>
          <w:sz w:val="34"/>
          <w:szCs w:val="34"/>
        </w:rPr>
        <w:t xml:space="preserve">Tres IAs pronosticaron un Mundial completo</w:t>
      </w:r>
    </w:p>
    <w:p>
      <w:pPr>
        <w:spacing w:after="120" w:before="0" w:line="300"/>
      </w:pPr>
      <w:r>
        <w:rPr>
          <w:rFonts w:ascii="Igra Sans" w:cs="Igra Sans" w:eastAsia="Igra Sans" w:hAnsi="Igra Sans"/>
          <w:color w:val="FFFFFF"/>
          <w:sz w:val="18"/>
          <w:szCs w:val="18"/>
        </w:rPr>
        <w:t xml:space="preserve">Informe de cierre · 11 de junio – 19 de julio de 2026 · mundial.javierforero.co</w:t>
      </w:r>
    </w:p>
    <w:p>
      <w:pPr>
        <w:spacing w:after="560" w:before="0"/>
      </w:pP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"/>
        <w:gridCol w:w="9910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40" w:before="60" w:line="300"/>
            </w:pPr>
            <w:r>
              <w:rPr>
                <w:rFonts w:ascii="Igra Sans" w:cs="Igra Sans" w:eastAsia="Igra Sans" w:hAnsi="Igra Sans"/>
                <w:b/>
                <w:bCs/>
                <w:caps/>
                <w:color w:val="041C59"/>
                <w:sz w:val="26"/>
                <w:szCs w:val="26"/>
              </w:rPr>
              <w:t xml:space="preserve">Resumen ejecutivo</w:t>
            </w:r>
          </w:p>
        </w:tc>
      </w:tr>
    </w:tbl>
    <w:p>
      <w:pPr>
        <w:spacing w:after="120" w:before="0" w:line="300"/>
      </w:pPr>
      <w:r>
        <w:rPr>
          <w:rFonts w:ascii="Igra Sans" w:cs="Igra Sans" w:eastAsia="Igra Sans" w:hAnsi="Igra Sans"/>
          <w:color w:val="1F2937"/>
          <w:sz w:val="20"/>
          <w:szCs w:val="20"/>
        </w:rPr>
        <w:t xml:space="preserve">Durante 39 días, tres modelos de IA — </w:t>
      </w:r>
      <w:r>
        <w:rPr>
          <w:rFonts w:ascii="Igra Sans" w:cs="Igra Sans" w:eastAsia="Igra Sans" w:hAnsi="Igra Sans"/>
          <w:b/>
          <w:bCs/>
          <w:color w:val="1F2937"/>
          <w:sz w:val="20"/>
          <w:szCs w:val="20"/>
        </w:rPr>
        <w:t xml:space="preserve">Claude, ChatGPT y Gemini</w:t>
      </w:r>
      <w:r>
        <w:rPr>
          <w:rFonts w:ascii="Igra Sans" w:cs="Igra Sans" w:eastAsia="Igra Sans" w:hAnsi="Igra Sans"/>
          <w:color w:val="1F2937"/>
          <w:sz w:val="20"/>
          <w:szCs w:val="20"/>
        </w:rPr>
        <w:t xml:space="preserve"> — emitieron pronósticos congelados y auditables para los 104 partidos del Mundial 2026: 72 de fase de grupos, posiciones finales de los 12 grupos, 32 llaves eliminatorias y la Bota de Oro. Cada emisión quedó publicada con marca de tiempo previa a los partidos en un repositorio público, y un sitio comparó predicción contra realidad con puntuación automática.</w:t>
      </w:r>
    </w:p>
    <w:p>
      <w:pPr>
        <w:spacing w:after="160" w:before="0" w:line="300"/>
      </w:pPr>
      <w:r>
        <w:rPr>
          <w:rFonts w:ascii="Igra Sans" w:cs="Igra Sans" w:eastAsia="Igra Sans" w:hAnsi="Igra Sans"/>
          <w:b/>
          <w:bCs/>
          <w:color w:val="1F2937"/>
          <w:sz w:val="20"/>
          <w:szCs w:val="20"/>
        </w:rPr>
        <w:t xml:space="preserve">Resultado del ejercicio: </w:t>
      </w:r>
      <w:r>
        <w:rPr>
          <w:rFonts w:ascii="Igra Sans" w:cs="Igra Sans" w:eastAsia="Igra Sans" w:hAnsi="Igra Sans"/>
          <w:color w:val="1F2937"/>
          <w:sz w:val="20"/>
          <w:szCs w:val="20"/>
        </w:rPr>
        <w:t xml:space="preserve">ChatGPT ganó el gran total (245 pts), con Claude segundo (230) y Gemini tercero (229) — la plata se definió por un punto. El Consenso de las tres (239) superó a dos de los tres modelos individuales, y el mejor pico individual fue de Claude en eliminatorias (103), única IA que acertó las dos semifinales. España, campeona del mundo, era la nº 1 pre-torneo de dos de las tres IAs.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"/>
        <w:gridCol w:w="9910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40" w:before="60" w:line="300"/>
            </w:pPr>
            <w:r>
              <w:rPr>
                <w:rFonts w:ascii="Igra Sans" w:cs="Igra Sans" w:eastAsia="Igra Sans" w:hAnsi="Igra Sans"/>
                <w:b/>
                <w:bCs/>
                <w:caps/>
                <w:color w:val="041C59"/>
                <w:sz w:val="26"/>
                <w:szCs w:val="26"/>
              </w:rPr>
              <w:t xml:space="preserve">Podio final · gran total</w:t>
            </w:r>
          </w:p>
        </w:tc>
      </w:tr>
    </w:tbl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21"/>
                <w:szCs w:val="21"/>
              </w:rPr>
              <w:t xml:space="preserve">🥇 ChatGPT</w:t>
            </w:r>
          </w:p>
        </w:tc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21"/>
                <w:szCs w:val="21"/>
              </w:rPr>
              <w:t xml:space="preserve">🥈 Claude</w:t>
            </w:r>
          </w:p>
        </w:tc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21"/>
                <w:szCs w:val="21"/>
              </w:rPr>
              <w:t xml:space="preserve">🥉 Gemini</w:t>
            </w:r>
          </w:p>
        </w:tc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5F6B7A"/>
                <w:sz w:val="19"/>
                <w:szCs w:val="19"/>
              </w:rPr>
              <w:t xml:space="preserve">Consenso (referencia)</w:t>
            </w:r>
          </w:p>
        </w:tc>
      </w:tr>
      <w:tr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4E00FF"/>
                <w:sz w:val="40"/>
                <w:szCs w:val="40"/>
              </w:rPr>
              <w:t xml:space="preserve">245</w:t>
            </w:r>
          </w:p>
        </w:tc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4E00FF"/>
                <w:sz w:val="40"/>
                <w:szCs w:val="40"/>
              </w:rPr>
              <w:t xml:space="preserve">230</w:t>
            </w:r>
          </w:p>
        </w:tc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4E00FF"/>
                <w:sz w:val="40"/>
                <w:szCs w:val="40"/>
              </w:rPr>
              <w:t xml:space="preserve">229</w:t>
            </w:r>
          </w:p>
        </w:tc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5F6B7A"/>
                <w:sz w:val="40"/>
                <w:szCs w:val="40"/>
              </w:rPr>
              <w:t xml:space="preserve">239</w:t>
            </w:r>
          </w:p>
        </w:tc>
      </w:tr>
      <w:tr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5F6B7A"/>
                <w:sz w:val="15"/>
                <w:szCs w:val="15"/>
              </w:rPr>
              <w:t xml:space="preserve">96 KO · 70 grupos · 73 posiciones · 6 bota</w:t>
            </w:r>
          </w:p>
        </w:tc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5F6B7A"/>
                <w:sz w:val="15"/>
                <w:szCs w:val="15"/>
              </w:rPr>
              <w:t xml:space="preserve">103 KO · 59 grupos · 63 posiciones · 5 bota</w:t>
            </w:r>
          </w:p>
        </w:tc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5F6B7A"/>
                <w:sz w:val="15"/>
                <w:szCs w:val="15"/>
              </w:rPr>
              <w:t xml:space="preserve">92 KO · 67 grupos · 67 posiciones · 3 bota</w:t>
            </w:r>
          </w:p>
        </w:tc>
        <w:tc>
          <w:tcPr>
            <w:tcW w:type="dxa" w:w="25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5F6B7A"/>
                <w:sz w:val="15"/>
                <w:szCs w:val="15"/>
              </w:rPr>
              <w:t xml:space="preserve">98 KO · 69 grupos · 72 posiciones · sin lista</w:t>
            </w:r>
          </w:p>
        </w:tc>
      </w:tr>
    </w:tbl>
    <w:p>
      <w:pPr>
        <w:spacing w:after="180" w:before="0" w:line="260"/>
      </w:pPr>
      <w:r>
        <w:rPr>
          <w:rFonts w:ascii="Igra Sans" w:cs="Igra Sans" w:eastAsia="Igra Sans" w:hAnsi="Igra Sans"/>
          <w:color w:val="5F6B7A"/>
          <w:sz w:val="16"/>
          <w:szCs w:val="16"/>
        </w:rPr>
        <w:t xml:space="preserve">Puntuación propia del benchmark, con reglas publicadas antes de los partidos: grupos por resultado, marcador y RPS; posiciones de grupo; eliminatorias (3 clasificado, +2 marcador exacto, +1 signo); Bota de Oro (cobertura del top-5 real + bonus por el ganador). Desempates por marcadores exactos. El Consenso se midió como referencia y no compitió por las medallas.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"/>
        <w:gridCol w:w="9910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40" w:before="60" w:line="300"/>
            </w:pPr>
            <w:r>
              <w:rPr>
                <w:rFonts w:ascii="Igra Sans" w:cs="Igra Sans" w:eastAsia="Igra Sans" w:hAnsi="Igra Sans"/>
                <w:b/>
                <w:bCs/>
                <w:caps/>
                <w:color w:val="041C59"/>
                <w:sz w:val="26"/>
                <w:szCs w:val="26"/>
              </w:rPr>
              <w:t xml:space="preserve">Seis hallazgos que resumen el ejercicio</w:t>
            </w:r>
          </w:p>
        </w:tc>
      </w:tr>
    </w:tbl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99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00"/>
            <w:tcBorders>
              <w:top w:val="single" w:color="E3E8F5" w:sz="4"/>
              <w:left w:val="none" w:color="FFFFFF" w:sz="0"/>
              <w:bottom w:val="single" w:color="E3E8F5" w:sz="4"/>
              <w:right w:val="single" w:color="E3E8F5" w:sz="4"/>
            </w:tcBorders>
            <w:shd w:fill="F6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21"/>
                <w:szCs w:val="21"/>
              </w:rPr>
              <w:t xml:space="preserve">1 · El campeón estaba anticipado</w:t>
            </w:r>
          </w:p>
          <w:p>
            <w:pPr>
              <w:spacing w:after="40" w:before="0" w:line="280"/>
            </w:pPr>
            <w:r>
              <w:rPr>
                <w:rFonts w:ascii="Igra Sans" w:cs="Igra Sans" w:eastAsia="Igra Sans" w:hAnsi="Igra Sans"/>
                <w:color w:val="1F2937"/>
                <w:sz w:val="19"/>
                <w:szCs w:val="19"/>
              </w:rPr>
              <w:t xml:space="preserve">España, campeona del mundo tras el 1-0 a Argentina en la prórroga, era la nº 1 en probabilidad de título pre-torneo para Claude (18.23%) y ChatGPT (17.20%), y la nº 2 para Gemini. Claude fue además la única IA cuyo top-2 pre-torneo (España 1ª, Argentina 2ª) coincidió exactamente con la final.</w:t>
            </w:r>
          </w:p>
        </w:tc>
      </w:tr>
    </w:tbl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99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00"/>
            <w:tcBorders>
              <w:top w:val="single" w:color="E3E8F5" w:sz="4"/>
              <w:left w:val="none" w:color="FFFFFF" w:sz="0"/>
              <w:bottom w:val="single" w:color="E3E8F5" w:sz="4"/>
              <w:right w:val="single" w:color="E3E8F5" w:sz="4"/>
            </w:tcBorders>
            <w:shd w:fill="F6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21"/>
                <w:szCs w:val="21"/>
              </w:rPr>
              <w:t xml:space="preserve">2 · Los cuatro semifinalistas, en el radar de todos</w:t>
            </w:r>
          </w:p>
          <w:p>
            <w:pPr>
              <w:spacing w:after="40" w:before="0" w:line="280"/>
            </w:pPr>
            <w:r>
              <w:rPr>
                <w:rFonts w:ascii="Igra Sans" w:cs="Igra Sans" w:eastAsia="Igra Sans" w:hAnsi="Igra Sans"/>
                <w:color w:val="1F2937"/>
                <w:sz w:val="19"/>
                <w:szCs w:val="19"/>
              </w:rPr>
              <w:t xml:space="preserve">España, Francia, Argentina e Inglaterra — los cuatro semifinalistas reales — ocupaban el top de las proyecciones de las tres IAs antes de rodar el balón: ChatGPT y Gemini con el top-4 exacto; Claude con los cuatro en su top-5.</w:t>
            </w:r>
          </w:p>
        </w:tc>
      </w:tr>
    </w:tbl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99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00"/>
            <w:tcBorders>
              <w:top w:val="single" w:color="E3E8F5" w:sz="4"/>
              <w:left w:val="none" w:color="FFFFFF" w:sz="0"/>
              <w:bottom w:val="single" w:color="E3E8F5" w:sz="4"/>
              <w:right w:val="single" w:color="E3E8F5" w:sz="4"/>
            </w:tcBorders>
            <w:shd w:fill="F6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21"/>
                <w:szCs w:val="21"/>
              </w:rPr>
              <w:t xml:space="preserve">3 · El consenso rindió al nivel del mejor</w:t>
            </w:r>
          </w:p>
          <w:p>
            <w:pPr>
              <w:spacing w:after="40" w:before="0" w:line="280"/>
            </w:pPr>
            <w:r>
              <w:rPr>
                <w:rFonts w:ascii="Igra Sans" w:cs="Igra Sans" w:eastAsia="Igra Sans" w:hAnsi="Igra Sans"/>
                <w:color w:val="1F2937"/>
                <w:sz w:val="19"/>
                <w:szCs w:val="19"/>
              </w:rPr>
              <w:t xml:space="preserve">La combinación de las tres IAs (239 pts) superó a dos de los tres modelos individuales y quedó a 6 del ganador: evidencia clásica de la sabiduría de los agregados aplicada a pronósticos deportivos.</w:t>
            </w:r>
          </w:p>
        </w:tc>
      </w:tr>
    </w:tbl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99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00"/>
            <w:tcBorders>
              <w:top w:val="single" w:color="E3E8F5" w:sz="4"/>
              <w:left w:val="none" w:color="FFFFFF" w:sz="0"/>
              <w:bottom w:val="single" w:color="E3E8F5" w:sz="4"/>
              <w:right w:val="single" w:color="E3E8F5" w:sz="4"/>
            </w:tcBorders>
            <w:shd w:fill="F6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21"/>
                <w:szCs w:val="21"/>
              </w:rPr>
              <w:t xml:space="preserve">4 · El xG le ganó al ranking en el momento decisivo</w:t>
            </w:r>
          </w:p>
          <w:p>
            <w:pPr>
              <w:spacing w:after="40" w:before="0" w:line="280"/>
            </w:pPr>
            <w:r>
              <w:rPr>
                <w:rFonts w:ascii="Igra Sans" w:cs="Igra Sans" w:eastAsia="Igra Sans" w:hAnsi="Igra Sans"/>
                <w:color w:val="1F2937"/>
                <w:sz w:val="19"/>
                <w:szCs w:val="19"/>
              </w:rPr>
              <w:t xml:space="preserve">En semifinales, Claude sostuvo en solitario a España cuando el ranking FIFA situaba a Francia 1ª, apoyado en el xG del torneo (España concedía 0.27 xGA por partido). Acertó ambas llaves — única IA en lograrlo — y Francia terminó generando 0.3 xG en la semifinal.</w:t>
            </w:r>
          </w:p>
        </w:tc>
      </w:tr>
    </w:tbl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99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00"/>
            <w:tcBorders>
              <w:top w:val="single" w:color="E3E8F5" w:sz="4"/>
              <w:left w:val="none" w:color="FFFFFF" w:sz="0"/>
              <w:bottom w:val="single" w:color="E3E8F5" w:sz="4"/>
              <w:right w:val="single" w:color="E3E8F5" w:sz="4"/>
            </w:tcBorders>
            <w:shd w:fill="F6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21"/>
                <w:szCs w:val="21"/>
              </w:rPr>
              <w:t xml:space="preserve">5 · La Bota de Oro cambió de dueño en el último acto</w:t>
            </w:r>
          </w:p>
          <w:p>
            <w:pPr>
              <w:spacing w:after="40" w:before="0" w:line="280"/>
            </w:pPr>
            <w:r>
              <w:rPr>
                <w:rFonts w:ascii="Igra Sans" w:cs="Igra Sans" w:eastAsia="Igra Sans" w:hAnsi="Igra Sans"/>
                <w:color w:val="1F2937"/>
                <w:sz w:val="19"/>
                <w:szCs w:val="19"/>
              </w:rPr>
              <w:t xml:space="preserve">Messi lideró la tabla casi todo el torneo, pero el doblete de Mbappé en el tercer puesto (10 goles) decidió el premio. ChatGPT fue la única IA que puso a Mbappé como nº 1 pre-torneo; ninguna anticipó a Bellingham (7 goles) en el top-5.</w:t>
            </w:r>
          </w:p>
        </w:tc>
      </w:tr>
    </w:tbl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990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00"/>
            <w:tcBorders>
              <w:top w:val="single" w:color="E3E8F5" w:sz="4"/>
              <w:left w:val="none" w:color="FFFFFF" w:sz="0"/>
              <w:bottom w:val="single" w:color="E3E8F5" w:sz="4"/>
              <w:right w:val="single" w:color="E3E8F5" w:sz="4"/>
            </w:tcBorders>
            <w:shd w:fill="F6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21"/>
                <w:szCs w:val="21"/>
              </w:rPr>
              <w:t xml:space="preserve">6 · Donde los modelos se rompen — y decirlo también es el ejercicio</w:t>
            </w:r>
          </w:p>
          <w:p>
            <w:pPr>
              <w:spacing w:after="40" w:before="0" w:line="280"/>
            </w:pPr>
            <w:r>
              <w:rPr>
                <w:rFonts w:ascii="Igra Sans" w:cs="Igra Sans" w:eastAsia="Igra Sans" w:hAnsi="Igra Sans"/>
                <w:color w:val="1F2937"/>
                <w:sz w:val="19"/>
                <w:szCs w:val="19"/>
              </w:rPr>
              <w:t xml:space="preserve">El tercer puesto (Francia 4-6 Inglaterra, el más goleado de la historia) tuvo pronóstico unánime por Francia: las tres IAs y el consenso sumaron 0. Los partidos sin presión competitiva siguen fuera del alcance de los modelos — documentarlo honestamente es parte del valor del benchmark.</w:t>
            </w:r>
          </w:p>
        </w:tc>
      </w:tr>
    </w:tbl>
    <w:p>
      <w:pPr>
        <w:spacing w:after="120" w:before="0"/>
      </w:pP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"/>
        <w:gridCol w:w="9910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40" w:before="60" w:line="300"/>
            </w:pPr>
            <w:r>
              <w:rPr>
                <w:rFonts w:ascii="Igra Sans" w:cs="Igra Sans" w:eastAsia="Igra Sans" w:hAnsi="Igra Sans"/>
                <w:b/>
                <w:bCs/>
                <w:caps/>
                <w:color w:val="041C59"/>
                <w:sz w:val="26"/>
                <w:szCs w:val="26"/>
              </w:rPr>
              <w:t xml:space="preserve">Resultados por componente</w:t>
            </w:r>
          </w:p>
        </w:tc>
      </w:tr>
    </w:tbl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800"/>
      </w:tblGrid>
      <w:tr>
        <w:tc>
          <w:tcPr>
            <w:tcW w:type="dxa" w:w="2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18"/>
                <w:szCs w:val="18"/>
              </w:rPr>
              <w:t xml:space="preserve">Claude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18"/>
                <w:szCs w:val="18"/>
              </w:rPr>
              <w:t xml:space="preserve">ChatGPT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18"/>
                <w:szCs w:val="18"/>
              </w:rPr>
              <w:t xml:space="preserve">Gemini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5F6B7A"/>
                <w:sz w:val="18"/>
                <w:szCs w:val="18"/>
              </w:rPr>
              <w:t xml:space="preserve">Consenso</w:t>
            </w:r>
          </w:p>
        </w:tc>
      </w:tr>
      <w:tr>
        <w:tc>
          <w:tcPr>
            <w:tcW w:type="dxa" w:w="2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Partidos de grupos (72)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59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1F2937"/>
                <w:sz w:val="18"/>
                <w:szCs w:val="18"/>
              </w:rPr>
              <w:t xml:space="preserve">70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67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5F6B7A"/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2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Posiciones de grupo (12)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63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1F2937"/>
                <w:sz w:val="18"/>
                <w:szCs w:val="18"/>
              </w:rPr>
              <w:t xml:space="preserve">73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67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5F6B7A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2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Eliminatorias (32 llaves)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1F2937"/>
                <w:sz w:val="18"/>
                <w:szCs w:val="18"/>
              </w:rPr>
              <w:t xml:space="preserve">103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96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92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5F6B7A"/>
                <w:sz w:val="18"/>
                <w:szCs w:val="18"/>
              </w:rPr>
              <w:t xml:space="preserve">98</w:t>
            </w:r>
          </w:p>
        </w:tc>
      </w:tr>
      <w:tr>
        <w:tc>
          <w:tcPr>
            <w:tcW w:type="dxa" w:w="2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Bota de Oro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color w:val="5F6B7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</w:pPr>
            <w:r>
              <w:rPr>
                <w:rFonts w:ascii="Igra Sans" w:cs="Igra Sans" w:eastAsia="Igra Sans" w:hAnsi="Igra Sans"/>
                <w:b/>
                <w:bCs/>
                <w:color w:val="041C59"/>
                <w:sz w:val="18"/>
                <w:szCs w:val="18"/>
              </w:rPr>
              <w:t xml:space="preserve">GRAN TOTAL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4E00FF"/>
                <w:sz w:val="18"/>
                <w:szCs w:val="18"/>
              </w:rPr>
              <w:t xml:space="preserve">230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4E00FF"/>
                <w:sz w:val="18"/>
                <w:szCs w:val="18"/>
              </w:rPr>
              <w:t xml:space="preserve">245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4E00FF"/>
                <w:sz w:val="18"/>
                <w:szCs w:val="18"/>
              </w:rPr>
              <w:t xml:space="preserve">229</w:t>
            </w:r>
          </w:p>
        </w:tc>
        <w:tc>
          <w:tcPr>
            <w:tcW w:type="dxa" w:w="1800"/>
            <w:tcBorders>
              <w:top w:val="single" w:color="E3E8F5" w:sz="4"/>
              <w:left w:val="single" w:color="E3E8F5" w:sz="4"/>
              <w:bottom w:val="single" w:color="E3E8F5" w:sz="4"/>
              <w:right w:val="single" w:color="E3E8F5" w:sz="4"/>
            </w:tcBorders>
            <w:shd w:fill="F6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Igra Sans" w:cs="Igra Sans" w:eastAsia="Igra Sans" w:hAnsi="Igra Sans"/>
                <w:b/>
                <w:bCs/>
                <w:color w:val="5F6B7A"/>
                <w:sz w:val="18"/>
                <w:szCs w:val="18"/>
              </w:rPr>
              <w:t xml:space="preserve">239</w:t>
            </w:r>
          </w:p>
        </w:tc>
      </w:tr>
    </w:tbl>
    <w:p>
      <w:pPr>
        <w:spacing w:after="160" w:before="0"/>
      </w:pP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"/>
        <w:gridCol w:w="9910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0FF" w:val="clear"/>
          </w:tcPr>
          <w:p>
            <w:r>
              <w:t xml:space="preserve"/>
            </w:r>
          </w:p>
        </w:tc>
        <w:tc>
          <w:tcPr>
            <w:tcW w:type="dxa" w:w="9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40" w:before="60" w:line="300"/>
            </w:pPr>
            <w:r>
              <w:rPr>
                <w:rFonts w:ascii="Igra Sans" w:cs="Igra Sans" w:eastAsia="Igra Sans" w:hAnsi="Igra Sans"/>
                <w:b/>
                <w:bCs/>
                <w:caps/>
                <w:color w:val="041C59"/>
                <w:sz w:val="26"/>
                <w:szCs w:val="26"/>
              </w:rPr>
              <w:t xml:space="preserve">Por qué el ejercicio es creíble</w:t>
            </w:r>
          </w:p>
        </w:tc>
      </w:tr>
    </w:tbl>
    <w:p>
      <w:pPr>
        <w:spacing w:after="80" w:before="0" w:line="300"/>
      </w:pPr>
      <w:r>
        <w:rPr>
          <w:rFonts w:ascii="Igra Sans" w:cs="Igra Sans" w:eastAsia="Igra Sans" w:hAnsi="Igra Sans"/>
          <w:b/>
          <w:bCs/>
          <w:color w:val="1F2937"/>
          <w:sz w:val="20"/>
          <w:szCs w:val="20"/>
        </w:rPr>
        <w:t xml:space="preserve">Emisiones congeladas: </w:t>
      </w:r>
      <w:r>
        <w:rPr>
          <w:rFonts w:ascii="Igra Sans" w:cs="Igra Sans" w:eastAsia="Igra Sans" w:hAnsi="Igra Sans"/>
          <w:color w:val="1F2937"/>
          <w:sz w:val="20"/>
          <w:szCs w:val="20"/>
        </w:rPr>
        <w:t xml:space="preserve">cada tanda de pronósticos se publicó en GitHub con marca de tiempo anterior a los partidos que predecía, incluida la final (fijada antes del 18 de julio).</w:t>
      </w:r>
    </w:p>
    <w:p>
      <w:pPr>
        <w:spacing w:after="80" w:before="0" w:line="300"/>
      </w:pPr>
      <w:r>
        <w:rPr>
          <w:rFonts w:ascii="Igra Sans" w:cs="Igra Sans" w:eastAsia="Igra Sans" w:hAnsi="Igra Sans"/>
          <w:b/>
          <w:bCs/>
          <w:color w:val="1F2937"/>
          <w:sz w:val="20"/>
          <w:szCs w:val="20"/>
        </w:rPr>
        <w:t xml:space="preserve">Reglas antes que resultados: </w:t>
      </w:r>
      <w:r>
        <w:rPr>
          <w:rFonts w:ascii="Igra Sans" w:cs="Igra Sans" w:eastAsia="Igra Sans" w:hAnsi="Igra Sans"/>
          <w:color w:val="1F2937"/>
          <w:sz w:val="20"/>
          <w:szCs w:val="20"/>
        </w:rPr>
        <w:t xml:space="preserve">la puntuación, los desempates y la exclusión del Consenso de las medallas quedaron declarados en la página antes de los últimos partidos.</w:t>
      </w:r>
    </w:p>
    <w:p>
      <w:pPr>
        <w:spacing w:after="80" w:before="0" w:line="300"/>
      </w:pPr>
      <w:r>
        <w:rPr>
          <w:rFonts w:ascii="Igra Sans" w:cs="Igra Sans" w:eastAsia="Igra Sans" w:hAnsi="Igra Sans"/>
          <w:b/>
          <w:bCs/>
          <w:color w:val="1F2937"/>
          <w:sz w:val="20"/>
          <w:szCs w:val="20"/>
        </w:rPr>
        <w:t xml:space="preserve">Honestidad en los fallos: </w:t>
      </w:r>
      <w:r>
        <w:rPr>
          <w:rFonts w:ascii="Igra Sans" w:cs="Igra Sans" w:eastAsia="Igra Sans" w:hAnsi="Igra Sans"/>
          <w:color w:val="1F2937"/>
          <w:sz w:val="20"/>
          <w:szCs w:val="20"/>
        </w:rPr>
        <w:t xml:space="preserve">los errores (el 3er puesto unánime fallido, la fase de grupos débil de Claude, Messi subestimado por todas) se documentan con el mismo detalle que los aciertos.</w:t>
      </w:r>
    </w:p>
    <w:p>
      <w:pPr>
        <w:spacing w:after="200" w:before="0" w:line="300"/>
      </w:pPr>
      <w:r>
        <w:rPr>
          <w:rFonts w:ascii="Igra Sans" w:cs="Igra Sans" w:eastAsia="Igra Sans" w:hAnsi="Igra Sans"/>
          <w:b/>
          <w:bCs/>
          <w:color w:val="1F2937"/>
          <w:sz w:val="20"/>
          <w:szCs w:val="20"/>
        </w:rPr>
        <w:t xml:space="preserve">Todo auditable: </w:t>
      </w:r>
      <w:r>
        <w:rPr>
          <w:rFonts w:ascii="Igra Sans" w:cs="Igra Sans" w:eastAsia="Igra Sans" w:hAnsi="Igra Sans"/>
          <w:color w:val="1F2937"/>
          <w:sz w:val="20"/>
          <w:szCs w:val="20"/>
        </w:rPr>
        <w:t xml:space="preserve">sitio en mundial.javierforero.co · código, datos y predicciones en github.com/jaforero/mundial2026-ai-benchmark.</w:t>
      </w:r>
    </w:p>
    <w:p>
      <w:pPr>
        <w:spacing w:after="20" w:before="120" w:line="300"/>
      </w:pPr>
      <w:r>
        <w:rPr>
          <w:rFonts w:ascii="Igra Sans" w:cs="Igra Sans" w:eastAsia="Igra Sans" w:hAnsi="Igra Sans"/>
          <w:b/>
          <w:bCs/>
          <w:color w:val="041C59"/>
          <w:sz w:val="21"/>
          <w:szCs w:val="21"/>
        </w:rPr>
        <w:t xml:space="preserve">Javier Forero</w:t>
      </w:r>
      <w:r>
        <w:rPr>
          <w:rFonts w:ascii="Igra Sans" w:cs="Igra Sans" w:eastAsia="Igra Sans" w:hAnsi="Igra Sans"/>
          <w:color w:val="5F6B7A"/>
          <w:sz w:val="18"/>
          <w:szCs w:val="18"/>
        </w:rPr>
        <w:t xml:space="preserve">  ·  Consultor en Analítica, Inteligencia Artificial y Transformación Digital</w:t>
      </w:r>
    </w:p>
    <w:p>
      <w:pPr>
        <w:spacing w:after="120" w:before="0" w:line="300"/>
      </w:pPr>
      <w:r>
        <w:rPr>
          <w:rFonts w:ascii="Igra Sans" w:cs="Igra Sans" w:eastAsia="Igra Sans" w:hAnsi="Igra Sans"/>
          <w:color w:val="5F6B7A"/>
          <w:sz w:val="16"/>
          <w:szCs w:val="16"/>
        </w:rPr>
        <w:t xml:space="preserve">mail@javierforero.com · +57 320 838 3457 · linkedin.com/in/jforero · javierforero.com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8F5" w:sz="4"/>
      </w:pBdr>
      <w:spacing w:before="80"/>
      <w:jc w:val="center"/>
    </w:pPr>
    <w:r>
      <w:rPr>
        <w:rFonts w:ascii="Igra Sans" w:cs="Igra Sans" w:eastAsia="Igra Sans" w:hAnsi="Igra Sans"/>
        <w:b/>
        <w:bCs/>
        <w:color w:val="5F6B7A"/>
        <w:sz w:val="16"/>
        <w:szCs w:val="16"/>
      </w:rPr>
      <w:t xml:space="preserve">Javier Forero</w:t>
    </w:r>
    <w:r>
      <w:rPr>
        <w:rFonts w:ascii="Igra Sans" w:cs="Igra Sans" w:eastAsia="Igra Sans" w:hAnsi="Igra Sans"/>
        <w:color w:val="4E00FF"/>
        <w:sz w:val="16"/>
        <w:szCs w:val="16"/>
      </w:rPr>
      <w:t xml:space="preserve">  ·  </w:t>
    </w:r>
    <w:r>
      <w:rPr>
        <w:rFonts w:ascii="Igra Sans" w:cs="Igra Sans" w:eastAsia="Igra Sans" w:hAnsi="Igra Sans"/>
        <w:color w:val="0048FF"/>
        <w:sz w:val="16"/>
        <w:szCs w:val="16"/>
      </w:rPr>
      <w:t xml:space="preserve">javierforero.co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gra Sans" w:cs="Igra Sans" w:eastAsia="Igra Sans" w:hAnsi="Igra Sans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b9612292f82148b2240b6651ff9c7b66fa5c48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2026-07-20T23:41:01.368Z</dcterms:created>
  <dcterms:modified xsi:type="dcterms:W3CDTF">2026-07-20T23:41:01.369Z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