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12be26f34cfe7377e196db7bcd6fab2b244da4"/>
    <w:p>
      <w:pPr>
        <w:pStyle w:val="Heading1"/>
      </w:pPr>
      <w:r>
        <w:t xml:space="preserve">Accessibility, inclusion and software-testing evidence</w:t>
      </w:r>
    </w:p>
    <w:p>
      <w:pPr>
        <w:pStyle w:val="FirstParagraph"/>
      </w:pPr>
      <w:r>
        <w:rPr>
          <w:b/>
          <w:bCs/>
        </w:rPr>
        <w:t xml:space="preserve">Audit date:</w:t>
      </w:r>
      <w:r>
        <w:t xml:space="preserve"> </w:t>
      </w:r>
      <w:r>
        <w:t xml:space="preserve">28 September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MealMatch web prototype, model pipelines and formative user study</w:t>
      </w:r>
    </w:p>
    <w:bookmarkStart w:id="12" w:name="accessibility-and-inclusion-position"/>
    <w:p>
      <w:pPr>
        <w:pStyle w:val="Heading2"/>
      </w:pPr>
      <w:r>
        <w:t xml:space="preserve">1. Accessibility and inclusion position</w:t>
      </w:r>
    </w:p>
    <w:p>
      <w:pPr>
        <w:pStyle w:val="FirstParagraph"/>
      </w:pPr>
      <w:r>
        <w:t xml:space="preserve">MealMatch treats accessibility as both a technical quality requirement and a</w:t>
      </w:r>
      <w:r>
        <w:t xml:space="preserve"> </w:t>
      </w:r>
      <w:r>
        <w:t xml:space="preserve">question of who has power, who is represented and who may be excluded. The</w:t>
      </w:r>
      <w:r>
        <w:t xml:space="preserve"> </w:t>
      </w:r>
      <w:r>
        <w:t xml:space="preserve">three concepts below are complementary rather than interchangeable.</w:t>
      </w:r>
    </w:p>
    <w:bookmarkStart w:id="9" w:name="Xef7c479c82e6227f864c1d66a38d19fc1be02f8"/>
    <w:p>
      <w:pPr>
        <w:pStyle w:val="Heading3"/>
      </w:pPr>
      <w:r>
        <w:t xml:space="preserve">1.1 Inclusive Design: broad, empathetic perspective</w:t>
      </w:r>
    </w:p>
    <w:p>
      <w:pPr>
        <w:pStyle w:val="FirstParagraph"/>
      </w:pPr>
      <w:r>
        <w:t xml:space="preserve">Inclusive Design asks the project to understand different contexts, abilities,</w:t>
      </w:r>
      <w:r>
        <w:t xml:space="preserve"> </w:t>
      </w:r>
      <w:r>
        <w:t xml:space="preserve">preferences and temporary constraints. MealMatch demonstrates this through:</w:t>
      </w:r>
    </w:p>
    <w:p>
      <w:pPr>
        <w:pStyle w:val="Compact"/>
        <w:numPr>
          <w:ilvl w:val="0"/>
          <w:numId w:val="1001"/>
        </w:numPr>
      </w:pPr>
      <w:r>
        <w:t xml:space="preserve">manual ingredient entry, receipt upload and photograph upload, so no single</w:t>
      </w:r>
      <w:r>
        <w:t xml:space="preserve"> </w:t>
      </w:r>
      <w:r>
        <w:t xml:space="preserve">AI input method is compulsory;</w:t>
      </w:r>
    </w:p>
    <w:p>
      <w:pPr>
        <w:pStyle w:val="Compact"/>
        <w:numPr>
          <w:ilvl w:val="0"/>
          <w:numId w:val="1001"/>
        </w:numPr>
      </w:pPr>
      <w:r>
        <w:t xml:space="preserve">visible buttons for every hands-free cooking action, so speech is an optional</w:t>
      </w:r>
      <w:r>
        <w:t xml:space="preserve"> </w:t>
      </w:r>
      <w:r>
        <w:t xml:space="preserve">convenience rather than the only route;</w:t>
      </w:r>
    </w:p>
    <w:p>
      <w:pPr>
        <w:pStyle w:val="Compact"/>
        <w:numPr>
          <w:ilvl w:val="0"/>
          <w:numId w:val="1001"/>
        </w:numPr>
      </w:pPr>
      <w:r>
        <w:t xml:space="preserve">editable AI detections and mandatory confirmation before pantry data changes;</w:t>
      </w:r>
    </w:p>
    <w:p>
      <w:pPr>
        <w:pStyle w:val="Compact"/>
        <w:numPr>
          <w:ilvl w:val="0"/>
          <w:numId w:val="1001"/>
        </w:numPr>
      </w:pPr>
      <w:r>
        <w:t xml:space="preserve">responsive desktop/mobile layouts, light/dark themes, persistent recipe-step</w:t>
      </w:r>
      <w:r>
        <w:t xml:space="preserve"> </w:t>
      </w:r>
      <w:r>
        <w:t xml:space="preserve">context and reduced-motion behaviour;</w:t>
      </w:r>
    </w:p>
    <w:p>
      <w:pPr>
        <w:pStyle w:val="Compact"/>
        <w:numPr>
          <w:ilvl w:val="0"/>
          <w:numId w:val="1001"/>
        </w:numPr>
      </w:pPr>
      <w:r>
        <w:t xml:space="preserve">dietary, allergy, disliked-food, cuisine and custom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preferences;</w:t>
      </w:r>
    </w:p>
    <w:p>
      <w:pPr>
        <w:pStyle w:val="Compact"/>
        <w:numPr>
          <w:ilvl w:val="0"/>
          <w:numId w:val="1001"/>
        </w:numPr>
      </w:pPr>
      <w:r>
        <w:t xml:space="preserve">iterative participant testing in which correction burden, trust, natural</w:t>
      </w:r>
      <w:r>
        <w:t xml:space="preserve"> </w:t>
      </w:r>
      <w:r>
        <w:t xml:space="preserve">speech, decision fatigue and differing preferences changed the design.</w:t>
      </w:r>
    </w:p>
    <w:p>
      <w:pPr>
        <w:pStyle w:val="FirstParagraph"/>
      </w:pPr>
      <w:r>
        <w:t xml:space="preserve">This is meaningful inclusive practice, but the evidence has limits. Participant</w:t>
      </w:r>
      <w:r>
        <w:t xml:space="preserve"> </w:t>
      </w:r>
      <w:r>
        <w:t xml:space="preserve">demographics and disability/access-needs data were not collected, and the study</w:t>
      </w:r>
      <w:r>
        <w:t xml:space="preserve"> </w:t>
      </w:r>
      <w:r>
        <w:t xml:space="preserve">does not demonstrate inclusion across disability, age, literacy, language,</w:t>
      </w:r>
      <w:r>
        <w:t xml:space="preserve"> </w:t>
      </w:r>
      <w:r>
        <w:t xml:space="preserve">culture or socioeconomic groups. The current interface and speech benchmark are</w:t>
      </w:r>
      <w:r>
        <w:t xml:space="preserve"> </w:t>
      </w:r>
      <w:r>
        <w:t xml:space="preserve">English-language. Future recruitment should include participants who use</w:t>
      </w:r>
      <w:r>
        <w:t xml:space="preserve"> </w:t>
      </w:r>
      <w:r>
        <w:t xml:space="preserve">assistive technology and people with varied accents, cooking experience,</w:t>
      </w:r>
      <w:r>
        <w:t xml:space="preserve"> </w:t>
      </w:r>
      <w:r>
        <w:t xml:space="preserve">devices and access needs, without collecting unnecessary sensitive data.</w:t>
      </w:r>
    </w:p>
    <w:bookmarkEnd w:id="9"/>
    <w:bookmarkStart w:id="10" w:name="X6c59668857cc8f1d193a443b0c88ccad3466ee5"/>
    <w:p>
      <w:pPr>
        <w:pStyle w:val="Heading3"/>
      </w:pPr>
      <w:r>
        <w:t xml:space="preserve">1.2 Born-Accessible Design: concrete technical standards</w:t>
      </w:r>
    </w:p>
    <w:p>
      <w:pPr>
        <w:pStyle w:val="FirstParagraph"/>
      </w:pPr>
      <w:r>
        <w:t xml:space="preserve">The implementation was audited against a WCAG 2.2 AA-oriented checklist. It</w:t>
      </w:r>
      <w:r>
        <w:t xml:space="preserve"> </w:t>
      </w:r>
      <w:r>
        <w:t xml:space="preserve">currently provides:</w:t>
      </w:r>
    </w:p>
    <w:p>
      <w:pPr>
        <w:pStyle w:val="Compact"/>
        <w:numPr>
          <w:ilvl w:val="0"/>
          <w:numId w:val="1002"/>
        </w:numPr>
      </w:pPr>
      <w:r>
        <w:t xml:space="preserve">an English document language and semantic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navigation, section,</w:t>
      </w:r>
      <w:r>
        <w:t xml:space="preserve"> </w:t>
      </w:r>
      <w:r>
        <w:t xml:space="preserve">heading, form, fieldset and dialog structures;</w:t>
      </w:r>
    </w:p>
    <w:p>
      <w:pPr>
        <w:pStyle w:val="Compact"/>
        <w:numPr>
          <w:ilvl w:val="0"/>
          <w:numId w:val="1002"/>
        </w:numPr>
      </w:pPr>
      <w:r>
        <w:t xml:space="preserve">a keyboard-visible skip link to</w:t>
      </w:r>
      <w:r>
        <w:t xml:space="preserve"> </w:t>
      </w:r>
      <w:r>
        <w:rPr>
          <w:rStyle w:val="VerbatimChar"/>
        </w:rPr>
        <w:t xml:space="preserve">#main-content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labelled primary navigation and</w:t>
      </w:r>
      <w:r>
        <w:t xml:space="preserve"> </w:t>
      </w:r>
      <w:r>
        <w:rPr>
          <w:rStyle w:val="VerbatimChar"/>
        </w:rPr>
        <w:t xml:space="preserve">aria-current="page"</w:t>
      </w:r>
      <w:r>
        <w:t xml:space="preserve"> </w:t>
      </w:r>
      <w:r>
        <w:t xml:space="preserve">on the active route;</w:t>
      </w:r>
    </w:p>
    <w:p>
      <w:pPr>
        <w:pStyle w:val="Compact"/>
        <w:numPr>
          <w:ilvl w:val="0"/>
          <w:numId w:val="1002"/>
        </w:numPr>
      </w:pPr>
      <w:r>
        <w:t xml:space="preserve">native buttons, inputs and selects for primary actions, with visible keyboard</w:t>
      </w:r>
      <w:r>
        <w:t xml:space="preserve"> </w:t>
      </w:r>
      <w:r>
        <w:t xml:space="preserve">focus indicators;</w:t>
      </w:r>
    </w:p>
    <w:p>
      <w:pPr>
        <w:pStyle w:val="Compact"/>
        <w:numPr>
          <w:ilvl w:val="0"/>
          <w:numId w:val="1002"/>
        </w:numPr>
      </w:pPr>
      <w:r>
        <w:t xml:space="preserve">accessible names for icon-only controls and non-text charts;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role="status"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 </w:t>
      </w:r>
      <w:r>
        <w:t xml:space="preserve">where state changes need to be conveyed;</w:t>
      </w:r>
    </w:p>
    <w:p>
      <w:pPr>
        <w:pStyle w:val="Compact"/>
        <w:numPr>
          <w:ilvl w:val="0"/>
          <w:numId w:val="1002"/>
        </w:numPr>
      </w:pPr>
      <w:r>
        <w:t xml:space="preserve">text equivalents for freshness, progress, pantry categories and cooking</w:t>
      </w:r>
      <w:r>
        <w:t xml:space="preserve"> </w:t>
      </w:r>
      <w:r>
        <w:t xml:space="preserve">status instead of relying only on colour or animation;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mode and a non-speech alternative for voice tasks;</w:t>
      </w:r>
    </w:p>
    <w:p>
      <w:pPr>
        <w:pStyle w:val="Compact"/>
        <w:numPr>
          <w:ilvl w:val="0"/>
          <w:numId w:val="1002"/>
        </w:numPr>
      </w:pPr>
      <w:r>
        <w:t xml:space="preserve">user confirmation, correction and cancellation around fallible AI output.</w:t>
      </w:r>
    </w:p>
    <w:p>
      <w:pPr>
        <w:pStyle w:val="FirstParagraph"/>
      </w:pPr>
      <w:r>
        <w:t xml:space="preserve">Changes made during this audit added the skip link, main-content focus target,</w:t>
      </w:r>
      <w:r>
        <w:t xml:space="preserve"> </w:t>
      </w:r>
      <w:r>
        <w:t xml:space="preserve">navigation labels/current-page state and an announced toast status. The</w:t>
      </w:r>
      <w:r>
        <w:t xml:space="preserve"> </w:t>
      </w:r>
      <w:r>
        <w:t xml:space="preserve">production build and automated tests pass after these changes.</w:t>
      </w:r>
    </w:p>
    <w:p>
      <w:pPr>
        <w:pStyle w:val="BodyText"/>
      </w:pPr>
      <w:r>
        <w:t xml:space="preserve">This is not a claim of WCAG conformance. No complete screen-reader audit,</w:t>
      </w:r>
      <w:r>
        <w:t xml:space="preserve"> </w:t>
      </w:r>
      <w:r>
        <w:t xml:space="preserve">keyboard-only audit, 200%/400% zoom audit or automated/manual contrast report</w:t>
      </w:r>
      <w:r>
        <w:t xml:space="preserve"> </w:t>
      </w:r>
      <w:r>
        <w:t xml:space="preserve">has been retained. Dialog focus trapping and focus restoration also need a</w:t>
      </w:r>
      <w:r>
        <w:t xml:space="preserve"> </w:t>
      </w:r>
      <w:r>
        <w:t xml:space="preserve">dedicated audit. Those checks are required before describing the product as</w:t>
      </w:r>
      <w:r>
        <w:t xml:space="preserve"> </w:t>
      </w:r>
      <w:r>
        <w:t xml:space="preserve">WCAG 2.2 AA conformant.</w:t>
      </w:r>
    </w:p>
    <w:bookmarkEnd w:id="10"/>
    <w:bookmarkStart w:id="11" w:name="X11525cfe7196a5ed76753f732596c8075e57900"/>
    <w:p>
      <w:pPr>
        <w:pStyle w:val="Heading3"/>
      </w:pPr>
      <w:r>
        <w:t xml:space="preserve">1.3 Radical Inclusion: social-justice accountability</w:t>
      </w:r>
    </w:p>
    <w:p>
      <w:pPr>
        <w:pStyle w:val="FirstParagraph"/>
      </w:pPr>
      <w:r>
        <w:t xml:space="preserve">Radical Inclusion asks not only whether a control can be operated, but whose</w:t>
      </w:r>
      <w:r>
        <w:t xml:space="preserve"> </w:t>
      </w:r>
      <w:r>
        <w:t xml:space="preserve">food, language, body, home and resources the system assumes. MealMatch applies</w:t>
      </w:r>
      <w:r>
        <w:t xml:space="preserve"> </w:t>
      </w:r>
      <w:r>
        <w:t xml:space="preserve">this lens by:</w:t>
      </w:r>
    </w:p>
    <w:p>
      <w:pPr>
        <w:pStyle w:val="Compact"/>
        <w:numPr>
          <w:ilvl w:val="0"/>
          <w:numId w:val="1003"/>
        </w:numPr>
      </w:pPr>
      <w:r>
        <w:t xml:space="preserve">keeping human authority over AI-detected pantry data and displaying</w:t>
      </w:r>
      <w:r>
        <w:t xml:space="preserve"> </w:t>
      </w:r>
      <w:r>
        <w:t xml:space="preserve">uncertainty rather than silently treating the model as correct;</w:t>
      </w:r>
    </w:p>
    <w:p>
      <w:pPr>
        <w:pStyle w:val="Compact"/>
        <w:numPr>
          <w:ilvl w:val="0"/>
          <w:numId w:val="1003"/>
        </w:numPr>
      </w:pPr>
      <w:r>
        <w:t xml:space="preserve">processing the core models locally, reducing the need to send household food</w:t>
      </w:r>
      <w:r>
        <w:t xml:space="preserve"> </w:t>
      </w:r>
      <w:r>
        <w:t xml:space="preserve">photographs, receipts or speech to a commercial cloud service;</w:t>
      </w:r>
    </w:p>
    <w:p>
      <w:pPr>
        <w:pStyle w:val="Compact"/>
        <w:numPr>
          <w:ilvl w:val="0"/>
          <w:numId w:val="1003"/>
        </w:numPr>
      </w:pPr>
      <w:r>
        <w:t xml:space="preserve">retaining manual and touch controls where vision, receipt or speech models</w:t>
      </w:r>
      <w:r>
        <w:t xml:space="preserve"> </w:t>
      </w:r>
      <w:r>
        <w:t xml:space="preserve">fail;</w:t>
      </w:r>
    </w:p>
    <w:p>
      <w:pPr>
        <w:pStyle w:val="Compact"/>
        <w:numPr>
          <w:ilvl w:val="0"/>
          <w:numId w:val="1003"/>
        </w:numPr>
      </w:pPr>
      <w:r>
        <w:t xml:space="preserve">treating allergy conflicts as exclusions and making dietary conflicts</w:t>
      </w:r>
      <w:r>
        <w:t xml:space="preserve"> </w:t>
      </w:r>
      <w:r>
        <w:t xml:space="preserve">explicit rather than optimising only for model relevance;</w:t>
      </w:r>
    </w:p>
    <w:p>
      <w:pPr>
        <w:pStyle w:val="Compact"/>
        <w:numPr>
          <w:ilvl w:val="0"/>
          <w:numId w:val="1003"/>
        </w:numPr>
      </w:pPr>
      <w:r>
        <w:t xml:space="preserve">supporting custom preferences instead of limiting every person to a fixed</w:t>
      </w:r>
      <w:r>
        <w:t xml:space="preserve"> </w:t>
      </w:r>
      <w:r>
        <w:t xml:space="preserve">taxonomy;</w:t>
      </w:r>
    </w:p>
    <w:p>
      <w:pPr>
        <w:pStyle w:val="Compact"/>
        <w:numPr>
          <w:ilvl w:val="0"/>
          <w:numId w:val="1003"/>
        </w:numPr>
      </w:pPr>
      <w:r>
        <w:t xml:space="preserve">documenting model failures, synthetic-data limits, missing demographic data</w:t>
      </w:r>
      <w:r>
        <w:t xml:space="preserve"> </w:t>
      </w:r>
      <w:r>
        <w:t xml:space="preserve">and contradictory participant preferences instead of presenting AI as</w:t>
      </w:r>
      <w:r>
        <w:t xml:space="preserve"> </w:t>
      </w:r>
      <w:r>
        <w:t xml:space="preserve">universally reliable.</w:t>
      </w:r>
    </w:p>
    <w:p>
      <w:pPr>
        <w:pStyle w:val="FirstParagraph"/>
      </w:pPr>
      <w:r>
        <w:t xml:space="preserve">The project must also acknowledge unresolved structural exclusions. Local AI</w:t>
      </w:r>
      <w:r>
        <w:t xml:space="preserve"> </w:t>
      </w:r>
      <w:r>
        <w:t xml:space="preserve">requires relatively capable hardware; food labels, cuisines and household units</w:t>
      </w:r>
      <w:r>
        <w:t xml:space="preserve"> </w:t>
      </w:r>
      <w:r>
        <w:t xml:space="preserve">reflect the available datasets and developer taxonomy; speech performance has</w:t>
      </w:r>
      <w:r>
        <w:t xml:space="preserve"> </w:t>
      </w:r>
      <w:r>
        <w:t xml:space="preserve">not been analysed by accent or speech difference; and pantry ownership itself</w:t>
      </w:r>
      <w:r>
        <w:t xml:space="preserve"> </w:t>
      </w:r>
      <w:r>
        <w:t xml:space="preserve">must not be treated as a measure of personal responsibility or moral worth.</w:t>
      </w:r>
      <w:r>
        <w:t xml:space="preserve"> </w:t>
      </w:r>
      <w:r>
        <w:t xml:space="preserve">Food-waste messaging should avoid blaming people experiencing poverty, limited</w:t>
      </w:r>
      <w:r>
        <w:t xml:space="preserve"> </w:t>
      </w:r>
      <w:r>
        <w:t xml:space="preserve">storage, disability, care responsibilities or unstable access to food. Future</w:t>
      </w:r>
      <w:r>
        <w:t xml:space="preserve"> </w:t>
      </w:r>
      <w:r>
        <w:t xml:space="preserve">co-design should compensate participants and involve relevant communities in</w:t>
      </w:r>
      <w:r>
        <w:t xml:space="preserve"> </w:t>
      </w:r>
      <w:r>
        <w:t xml:space="preserve">setting priorities, not only in validating a nearly finished interface.</w:t>
      </w:r>
    </w:p>
    <w:bookmarkEnd w:id="11"/>
    <w:bookmarkEnd w:id="12"/>
    <w:bookmarkStart w:id="14" w:name="testing-levels"/>
    <w:p>
      <w:pPr>
        <w:pStyle w:val="Heading2"/>
      </w:pPr>
      <w:r>
        <w:t xml:space="preserve">2. Testing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MealMatch tests</w:t>
            </w:r>
          </w:p>
        </w:tc>
        <w:tc>
          <w:tcPr/>
          <w:p>
            <w:pPr>
              <w:pStyle w:val="Compact"/>
            </w:pPr>
            <w:r>
              <w:t xml:space="preserve">Evidence and 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Ingredient identity, receipt parsing, recommendation scoring, dietary/allergy rules, substitutions, quantity conversion, command routing, model-evaluation metrics and frontend recipe/voice rules</w:t>
            </w:r>
          </w:p>
        </w:tc>
        <w:tc>
          <w:tcPr/>
          <w:p>
            <w:pPr>
              <w:pStyle w:val="Compact"/>
            </w:pPr>
            <w:r>
              <w:t xml:space="preserve">Implemented.</w:t>
            </w:r>
            <w:r>
              <w:t xml:space="preserve"> </w:t>
            </w:r>
            <w:r>
              <w:rPr>
                <w:rStyle w:val="VerbatimChar"/>
              </w:rPr>
              <w:t xml:space="preserve">backend/tests/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frontend/tests/</w:t>
            </w:r>
            <w:r>
              <w:t xml:space="preserve">; current run: 100 backend tests and 8 frontend tests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API routes integrated with temporary SQLite data, photo-scan streaming and confirmation, cooking-session/pantry updates, AI-recipe safety/retry logic, substitutions and CORS</w:t>
            </w:r>
          </w:p>
        </w:tc>
        <w:tc>
          <w:tcPr/>
          <w:p>
            <w:pPr>
              <w:pStyle w:val="Compact"/>
            </w:pPr>
            <w:r>
              <w:t xml:space="preserve">Implemented. Twelve API/database boundary tests in</w:t>
            </w:r>
            <w:r>
              <w:t xml:space="preserve"> </w:t>
            </w:r>
            <w:r>
              <w:rPr>
                <w:rStyle w:val="VerbatimChar"/>
              </w:rPr>
              <w:t xml:space="preserve">test_photo_workflow.py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ApiTests</w:t>
            </w:r>
            <w:r>
              <w:t xml:space="preserve"> </w:t>
            </w:r>
            <w:r>
              <w:t xml:space="preserve">class in</w:t>
            </w:r>
            <w:r>
              <w:t xml:space="preserve"> </w:t>
            </w:r>
            <w:r>
              <w:rPr>
                <w:rStyle w:val="VerbatimChar"/>
              </w:rPr>
              <w:t xml:space="preserve">test_recipes_and_cooking.py</w:t>
            </w:r>
            <w:r>
              <w:t xml:space="preserve"> </w:t>
            </w:r>
            <w:r>
              <w:t xml:space="preserve">pass with model calls mocked where appropriate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Browser, React application, Vite proxy, live FastAPI service and temporary database exercised as one system</w:t>
            </w:r>
          </w:p>
        </w:tc>
        <w:tc>
          <w:tcPr/>
          <w:p>
            <w:pPr>
              <w:pStyle w:val="Compact"/>
            </w:pPr>
            <w:r>
              <w:t xml:space="preserve">Implemented as</w:t>
            </w:r>
            <w:r>
              <w:t xml:space="preserve"> </w:t>
            </w:r>
            <w:r>
              <w:rPr>
                <w:rStyle w:val="VerbatimChar"/>
              </w:rPr>
              <w:t xml:space="preserve">frontend/scripts/system-smoke.mjs</w:t>
            </w:r>
            <w:r>
              <w:t xml:space="preserve">. It verifies API availability, accessible shell, manual ingredient entry, database persistence, navigation/current-page state, recipe search and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testing</w:t>
            </w:r>
          </w:p>
        </w:tc>
        <w:tc>
          <w:tcPr/>
          <w:p>
            <w:pPr>
              <w:pStyle w:val="Compact"/>
            </w:pPr>
            <w:r>
              <w:t xml:space="preserve">Whether intended users can complete and understand realistic pantry, recipe, cooking-assistant and hands-free tasks</w:t>
            </w:r>
          </w:p>
        </w:tc>
        <w:tc>
          <w:tcPr/>
          <w:p>
            <w:pPr>
              <w:pStyle w:val="Compact"/>
            </w:pPr>
            <w:r>
              <w:t xml:space="preserve">Completed as formative acceptance/usability testing with ten participants overall, a nine-participant text-feature subset and a ten-participant hands-free study. Findings and re-testing are in the combined report; this is formative acceptance evidence, not formal client sign-off or population-level proof</w:t>
            </w:r>
          </w:p>
        </w:tc>
      </w:tr>
    </w:tbl>
    <w:bookmarkStart w:id="13" w:name="reproduction-commands"/>
    <w:p>
      <w:pPr>
        <w:pStyle w:val="Heading3"/>
      </w:pPr>
      <w:r>
        <w:t xml:space="preserve">2.1 Reproduction commands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VerbatimChar"/>
        </w:rPr>
        <w:t xml:space="preserve">backend/venv/bin/python -m unittest discover -s backend/tests -t . -v</w:t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npm run lint</w:t>
      </w:r>
      <w:r>
        <w:br/>
      </w:r>
      <w:r>
        <w:rPr>
          <w:rStyle w:val="VerbatimChar"/>
        </w:rPr>
        <w:t xml:space="preserve">npm run build</w:t>
      </w:r>
    </w:p>
    <w:p>
      <w:pPr>
        <w:pStyle w:val="FirstParagraph"/>
      </w:pPr>
      <w:r>
        <w:t xml:space="preserve">For the full-stack system smoke test, use a disposable database, seed it, then</w:t>
      </w:r>
      <w:r>
        <w:t xml:space="preserve"> </w:t>
      </w:r>
      <w:r>
        <w:t xml:space="preserve">start the two services in separate terminals:</w:t>
      </w:r>
    </w:p>
    <w:p>
      <w:pPr>
        <w:pStyle w:val="SourceCode"/>
      </w:pPr>
      <w:r>
        <w:rPr>
          <w:rStyle w:val="VerbatimChar"/>
        </w:rPr>
        <w:t xml:space="preserve">MEALMATCH_DATABASE_URL=sqlite:////private/tmp/mealmatch-system-test.db \</w:t>
      </w:r>
      <w:r>
        <w:br/>
      </w:r>
      <w:r>
        <w:rPr>
          <w:rStyle w:val="VerbatimChar"/>
        </w:rPr>
        <w:t xml:space="preserve">  backend/venv/bin/python backend/seed_data.py</w:t>
      </w:r>
      <w:r>
        <w:br/>
      </w:r>
      <w:r>
        <w:br/>
      </w:r>
      <w:r>
        <w:rPr>
          <w:rStyle w:val="VerbatimChar"/>
        </w:rPr>
        <w:t xml:space="preserve">MEALMATCH_DATABASE_URL=sqlite:////private/tmp/mealmatch-system-test.db \</w:t>
      </w:r>
      <w:r>
        <w:br/>
      </w:r>
      <w:r>
        <w:rPr>
          <w:rStyle w:val="VerbatimChar"/>
        </w:rPr>
        <w:t xml:space="preserve">  backend/venv/bin/python -m uvicorn main:app --app-dir backend \</w:t>
      </w:r>
      <w:r>
        <w:br/>
      </w:r>
      <w:r>
        <w:rPr>
          <w:rStyle w:val="VerbatimChar"/>
        </w:rPr>
        <w:t xml:space="preserve">  --host 127.0.0.1 --port 8000</w:t>
      </w:r>
      <w:r>
        <w:br/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run dev -- --host 127.0.0.1 --port 5173</w:t>
      </w:r>
      <w:r>
        <w:br/>
      </w:r>
      <w:r>
        <w:rPr>
          <w:rStyle w:val="VerbatimChar"/>
        </w:rPr>
        <w:t xml:space="preserve">npm run test:system</w:t>
      </w:r>
    </w:p>
    <w:p>
      <w:pPr>
        <w:pStyle w:val="FirstParagraph"/>
      </w:pPr>
      <w:r>
        <w:t xml:space="preserve">The system test adds a uniquely named ingredient and deletes it before exit. A</w:t>
      </w:r>
      <w:r>
        <w:t xml:space="preserve"> </w:t>
      </w:r>
      <w:r>
        <w:t xml:space="preserve">disposable database is still required so an interrupted run cannot affect real</w:t>
      </w:r>
      <w:r>
        <w:t xml:space="preserve"> </w:t>
      </w:r>
      <w:r>
        <w:t xml:space="preserve">prototype data.</w:t>
      </w:r>
    </w:p>
    <w:bookmarkEnd w:id="13"/>
    <w:bookmarkEnd w:id="14"/>
    <w:bookmarkStart w:id="16" w:name="acceptance-evidence-and-limits"/>
    <w:p>
      <w:pPr>
        <w:pStyle w:val="Heading2"/>
      </w:pPr>
      <w:r>
        <w:t xml:space="preserve">3. Acceptance evidence and limits</w:t>
      </w:r>
    </w:p>
    <w:p>
      <w:pPr>
        <w:pStyle w:val="FirstParagraph"/>
      </w:pPr>
      <w:r>
        <w:t xml:space="preserve">The participant study functions as formative user acceptance testing because</w:t>
      </w:r>
      <w:r>
        <w:t xml:space="preserve"> </w:t>
      </w:r>
      <w:r>
        <w:t xml:space="preserve">participants attempted core workflows and judged ease, usefulness, trust and</w:t>
      </w:r>
      <w:r>
        <w:t xml:space="preserve"> </w:t>
      </w:r>
      <w:r>
        <w:t xml:space="preserve">task outcomes. The evidence includes interface problems, model corrections,</w:t>
      </w:r>
      <w:r>
        <w:t xml:space="preserve"> </w:t>
      </w:r>
      <w:r>
        <w:t xml:space="preserve">natural-language hands-free tasks and post-iteration re-testing. See</w:t>
      </w:r>
      <w:r>
        <w:t xml:space="preserve"> </w:t>
      </w:r>
      <w:hyperlink r:id="rId15">
        <w:r>
          <w:rPr>
            <w:rStyle w:val="Hyperlink"/>
          </w:rPr>
          <w:t xml:space="preserve">Combined formative user-testing results</w:t>
        </w:r>
      </w:hyperlink>
      <w:r>
        <w:t xml:space="preserve">.</w:t>
      </w:r>
    </w:p>
    <w:p>
      <w:pPr>
        <w:pStyle w:val="BodyText"/>
      </w:pPr>
      <w:r>
        <w:t xml:space="preserve">It should not be called summative accessibility acceptance testing. No retained</w:t>
      </w:r>
      <w:r>
        <w:t xml:space="preserve"> </w:t>
      </w:r>
      <w:r>
        <w:t xml:space="preserve">results identify assistive technologies or access needs, SUS responses were not</w:t>
      </w:r>
      <w:r>
        <w:t xml:space="preserve"> </w:t>
      </w:r>
      <w:r>
        <w:t xml:space="preserve">supplied, and some post-iteration attempt counts were not preserved. A future</w:t>
      </w:r>
      <w:r>
        <w:t xml:space="preserve"> </w:t>
      </w:r>
      <w:r>
        <w:t xml:space="preserve">accessibility acceptance round should define pass criteria for keyboard-only and</w:t>
      </w:r>
      <w:r>
        <w:t xml:space="preserve"> </w:t>
      </w:r>
      <w:r>
        <w:t xml:space="preserve">screen-reader completion, 200% zoom/reflow, reduced motion, error recovery and</w:t>
      </w:r>
      <w:r>
        <w:t xml:space="preserve"> </w:t>
      </w:r>
      <w:r>
        <w:t xml:space="preserve">speech alternatives before recruitment.</w:t>
      </w:r>
    </w:p>
    <w:bookmarkEnd w:id="16"/>
    <w:bookmarkStart w:id="17" w:name="current-conclusion"/>
    <w:p>
      <w:pPr>
        <w:pStyle w:val="Heading2"/>
      </w:pPr>
      <w:r>
        <w:t xml:space="preserve">4. Current conclusion</w:t>
      </w:r>
    </w:p>
    <w:p>
      <w:pPr>
        <w:pStyle w:val="FirstParagraph"/>
      </w:pPr>
      <w:r>
        <w:t xml:space="preserve">All four software-testing levels now have identifiable evidence. Inclusive</w:t>
      </w:r>
      <w:r>
        <w:t xml:space="preserve"> </w:t>
      </w:r>
      <w:r>
        <w:t xml:space="preserve">Design and Radical Inclusion are visible in the multimodal, user-correctable,</w:t>
      </w:r>
      <w:r>
        <w:t xml:space="preserve"> </w:t>
      </w:r>
      <w:r>
        <w:t xml:space="preserve">privacy-conscious workflow and in honest limitations. Born-accessible practices</w:t>
      </w:r>
      <w:r>
        <w:t xml:space="preserve"> </w:t>
      </w:r>
      <w:r>
        <w:t xml:space="preserve">are present in the implementation and were strengthened by this audit. The</w:t>
      </w:r>
      <w:r>
        <w:t xml:space="preserve"> </w:t>
      </w:r>
      <w:r>
        <w:t xml:space="preserve">project should claim an</w:t>
      </w:r>
      <w:r>
        <w:t xml:space="preserve"> </w:t>
      </w:r>
      <w:r>
        <w:rPr>
          <w:b/>
          <w:bCs/>
        </w:rPr>
        <w:t xml:space="preserve">accessibility-informed prototype</w:t>
      </w:r>
      <w:r>
        <w:t xml:space="preserve">, not a universally</w:t>
      </w:r>
      <w:r>
        <w:t xml:space="preserve"> </w:t>
      </w:r>
      <w:r>
        <w:t xml:space="preserve">inclusive or WCAG-conformant product, until the outstanding audits and more</w:t>
      </w:r>
      <w:r>
        <w:t xml:space="preserve"> </w:t>
      </w:r>
      <w:r>
        <w:t xml:space="preserve">diverse co-design work are completed.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user-testing-combined-resu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user-testing-combined-resu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2026-09-28T03:28:14Z</dcterms:created>
  <dcterms:modified xsi:type="dcterms:W3CDTF">2026-09-28T03:28:14Z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