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A"/>
          <w:sz w:val="60"/>
        </w:rPr>
        <w:t>AI RELIABILITY FRAMEWORK</w:t>
      </w:r>
    </w:p>
    <w:p>
      <w:pPr>
        <w:jc w:val="center"/>
      </w:pPr>
      <w:r>
        <w:rPr>
          <w:b/>
          <w:sz w:val="32"/>
        </w:rPr>
        <w:t>Product Architecture + 7-Day Google Developer Expert MVP Specification</w:t>
      </w:r>
    </w:p>
    <w:p>
      <w:pPr>
        <w:jc w:val="center"/>
      </w:pPr>
      <w:r>
        <w:rPr>
          <w:i/>
        </w:rPr>
        <w:t>Version 1.0  |  August 2026</w:t>
      </w:r>
    </w:p>
    <w:p/>
    <w:p>
      <w:pPr>
        <w:jc w:val="center"/>
      </w:pPr>
      <w:r>
        <w:rPr>
          <w:b/>
          <w:sz w:val="24"/>
        </w:rPr>
        <w:t>Product thesis</w:t>
      </w:r>
    </w:p>
    <w:p>
      <w:pPr>
        <w:jc w:val="center"/>
      </w:pPr>
      <w:r>
        <w:t>Turn AI telemetry into reliability engineering: outcome SLOs, prompt/context diagnostics, efficiency envelopes, error budgets, burn rates, and actionable developer guidance.</w:t>
      </w:r>
    </w:p>
    <w:p>
      <w:r>
        <w:br w:type="page"/>
      </w:r>
    </w:p>
    <w:p>
      <w:pPr>
        <w:pStyle w:val="Heading1"/>
      </w:pPr>
      <w:r>
        <w:t>1. Executive Decision</w:t>
      </w:r>
    </w:p>
    <w:p>
      <w:r>
        <w:t>You do NOT need to own an AI model or train your own LLM to build this product. The recommended architecture is Bring Your Own Model/API (BYOM/BYOAI): customers connect Gemini, Vertex AI, OpenAI-compatible APIs, Anthropic, Bedrock, local models, or existing OpenTelemetry/observability sources. Your platform normalizes telemetry and optionally uses an evaluator model for prompt/output analysis.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rFonts w:ascii="Aptos" w:hAnsi="Aptos"/>
                <w:b/>
                <w:color w:val="FFFFFF"/>
                <w:sz w:val="16"/>
              </w:rPr>
              <w:t>Question</w:t>
            </w:r>
          </w:p>
        </w:tc>
        <w:tc>
          <w:tcPr>
            <w:tcW w:type="dxa" w:w="5184"/>
            <w:vAlign w:val="center"/>
            <w:shd w:fill="1F4E78"/>
          </w:tcPr>
          <w:p>
            <w:r/>
            <w:r>
              <w:rPr>
                <w:rFonts w:ascii="Aptos" w:hAnsi="Aptos"/>
                <w:b/>
                <w:color w:val="FFFFFF"/>
                <w:sz w:val="16"/>
              </w:rPr>
              <w:t>Decision</w:t>
            </w:r>
          </w:p>
        </w:tc>
      </w:tr>
      <w:tr>
        <w:tc>
          <w:tcPr>
            <w:tcW w:type="dxa" w:w="5184"/>
            <w:vAlign w:val="center"/>
          </w:tcPr>
          <w:p>
            <w:r/>
            <w:r>
              <w:rPr>
                <w:rFonts w:ascii="Aptos" w:hAnsi="Aptos"/>
                <w:b w:val="0"/>
                <w:sz w:val="16"/>
              </w:rPr>
              <w:t>Do we need our own AI model?</w:t>
            </w:r>
          </w:p>
        </w:tc>
        <w:tc>
          <w:tcPr>
            <w:tcW w:type="dxa" w:w="5184"/>
            <w:vAlign w:val="center"/>
          </w:tcPr>
          <w:p>
            <w:r/>
            <w:r>
              <w:rPr>
                <w:rFonts w:ascii="Aptos" w:hAnsi="Aptos"/>
                <w:b w:val="0"/>
                <w:sz w:val="16"/>
              </w:rPr>
              <w:t>No. The product is a reliability/control layer, not a foundation-model provider.</w:t>
            </w:r>
          </w:p>
        </w:tc>
      </w:tr>
      <w:tr>
        <w:tc>
          <w:tcPr>
            <w:tcW w:type="dxa" w:w="5184"/>
            <w:vAlign w:val="center"/>
            <w:shd w:fill="F4F7FA"/>
          </w:tcPr>
          <w:p>
            <w:r/>
            <w:r>
              <w:rPr>
                <w:rFonts w:ascii="Aptos" w:hAnsi="Aptos"/>
                <w:b w:val="0"/>
                <w:sz w:val="16"/>
              </w:rPr>
              <w:t>Do we need an AI API ourselves?</w:t>
            </w:r>
          </w:p>
        </w:tc>
        <w:tc>
          <w:tcPr>
            <w:tcW w:type="dxa" w:w="5184"/>
            <w:vAlign w:val="center"/>
            <w:shd w:fill="F4F7FA"/>
          </w:tcPr>
          <w:p>
            <w:r/>
            <w:r>
              <w:rPr>
                <w:rFonts w:ascii="Aptos" w:hAnsi="Aptos"/>
                <w:b w:val="0"/>
                <w:sz w:val="16"/>
              </w:rPr>
              <w:t>For the MVP: yes, one project-owned Gemini API key is useful for demos and optional evaluator functions. Production customers should normally supply/authorize their own provider credentials or telemetry.</w:t>
            </w:r>
          </w:p>
        </w:tc>
      </w:tr>
      <w:tr>
        <w:tc>
          <w:tcPr>
            <w:tcW w:type="dxa" w:w="5184"/>
            <w:vAlign w:val="center"/>
          </w:tcPr>
          <w:p>
            <w:r/>
            <w:r>
              <w:rPr>
                <w:rFonts w:ascii="Aptos" w:hAnsi="Aptos"/>
                <w:b w:val="0"/>
                <w:sz w:val="16"/>
              </w:rPr>
              <w:t>Should customer prompts be sent to our evaluator by default?</w:t>
            </w:r>
          </w:p>
        </w:tc>
        <w:tc>
          <w:tcPr>
            <w:tcW w:type="dxa" w:w="5184"/>
            <w:vAlign w:val="center"/>
          </w:tcPr>
          <w:p>
            <w:r/>
            <w:r>
              <w:rPr>
                <w:rFonts w:ascii="Aptos" w:hAnsi="Aptos"/>
                <w:b w:val="0"/>
                <w:sz w:val="16"/>
              </w:rPr>
              <w:t>No. Metadata-first by default. Content evaluation must be opt-in, configurable, redacted, and support customer-selected evaluator models.</w:t>
            </w:r>
          </w:p>
        </w:tc>
      </w:tr>
      <w:tr>
        <w:tc>
          <w:tcPr>
            <w:tcW w:type="dxa" w:w="5184"/>
            <w:vAlign w:val="center"/>
            <w:shd w:fill="F4F7FA"/>
          </w:tcPr>
          <w:p>
            <w:r/>
            <w:r>
              <w:rPr>
                <w:rFonts w:ascii="Aptos" w:hAnsi="Aptos"/>
                <w:b w:val="0"/>
                <w:sz w:val="16"/>
              </w:rPr>
              <w:t>Should the GDE version be the full commercial product?</w:t>
            </w:r>
          </w:p>
        </w:tc>
        <w:tc>
          <w:tcPr>
            <w:tcW w:type="dxa" w:w="5184"/>
            <w:vAlign w:val="center"/>
            <w:shd w:fill="F4F7FA"/>
          </w:tcPr>
          <w:p>
            <w:r/>
            <w:r>
              <w:rPr>
                <w:rFonts w:ascii="Aptos" w:hAnsi="Aptos"/>
                <w:b w:val="0"/>
                <w:sz w:val="16"/>
              </w:rPr>
              <w:t>No. Build a focused open-source Developer Edition first; preserve a clean path to a commercial Control Plane.</w:t>
            </w:r>
          </w:p>
        </w:tc>
      </w:tr>
      <w:tr>
        <w:tc>
          <w:tcPr>
            <w:tcW w:type="dxa" w:w="5184"/>
            <w:vAlign w:val="center"/>
          </w:tcPr>
          <w:p>
            <w:r/>
            <w:r>
              <w:rPr>
                <w:rFonts w:ascii="Aptos" w:hAnsi="Aptos"/>
                <w:b w:val="0"/>
                <w:sz w:val="16"/>
              </w:rPr>
              <w:t>Primary Google technology story</w:t>
            </w:r>
          </w:p>
        </w:tc>
        <w:tc>
          <w:tcPr>
            <w:tcW w:type="dxa" w:w="5184"/>
            <w:vAlign w:val="center"/>
          </w:tcPr>
          <w:p>
            <w:r/>
            <w:r>
              <w:rPr>
                <w:rFonts w:ascii="Aptos" w:hAnsi="Aptos"/>
                <w:b w:val="0"/>
                <w:sz w:val="16"/>
              </w:rPr>
              <w:t>Gemini + Vertex AI + Google Cloud-compatible deployment + OpenTelemetry integration.</w:t>
            </w:r>
          </w:p>
        </w:tc>
      </w:tr>
    </w:tbl>
    <w:p>
      <w:pPr>
        <w:pStyle w:val="Heading1"/>
      </w:pPr>
      <w:r>
        <w:t>2. Product Vision</w:t>
      </w:r>
    </w:p>
    <w:p>
      <w:r>
        <w:t>The product is an AI Application Reliability Engineering platform for software-development teams. It observes an end-user AI transaction across prompts, models, tools, retrieval, documents, retries, and responses; determines whether the outcome met reliability objectives; diagnoses likely failure contributors; and provides developer actions.</w:t>
      </w:r>
    </w:p>
    <w:p>
      <w:pPr>
        <w:pStyle w:val="Heading2"/>
      </w:pPr>
      <w:r>
        <w:t>2.1 Core product promise</w:t>
      </w:r>
    </w:p>
    <w:p>
      <w:pPr>
        <w:pStyle w:val="ListBullet"/>
        <w:spacing w:after="40"/>
      </w:pPr>
      <w:r>
        <w:t>Observe the complete AI transaction, not only individual model API calls.</w:t>
      </w:r>
    </w:p>
    <w:p>
      <w:pPr>
        <w:pStyle w:val="ListBullet"/>
        <w:spacing w:after="40"/>
      </w:pPr>
      <w:r>
        <w:t>Define AI reliability contracts as code.</w:t>
      </w:r>
    </w:p>
    <w:p>
      <w:pPr>
        <w:pStyle w:val="ListBullet"/>
        <w:spacing w:after="40"/>
      </w:pPr>
      <w:r>
        <w:t>Measure Availability, Latency, Quality, Grounding, Safety, and Efficiency as independent outcome dimensions.</w:t>
      </w:r>
    </w:p>
    <w:p>
      <w:pPr>
        <w:pStyle w:val="ListBullet"/>
        <w:spacing w:after="40"/>
      </w:pPr>
      <w:r>
        <w:t>Score Prompt Quality as a diagnostic dimension and identify hallucination-risk contributors.</w:t>
      </w:r>
    </w:p>
    <w:p>
      <w:pPr>
        <w:pStyle w:val="ListBullet"/>
        <w:spacing w:after="40"/>
      </w:pPr>
      <w:r>
        <w:t>Measure outcome-normalized work: model calls, tool calls, retries, tokens, latency, and cost per acceptable outcome.</w:t>
      </w:r>
    </w:p>
    <w:p>
      <w:pPr>
        <w:pStyle w:val="ListBullet"/>
        <w:spacing w:after="40"/>
      </w:pPr>
      <w:r>
        <w:t>Apply SLO/error-budget/burn-rate concepts to AI workloads.</w:t>
      </w:r>
    </w:p>
    <w:p>
      <w:pPr>
        <w:pStyle w:val="ListBullet"/>
        <w:spacing w:after="40"/>
      </w:pPr>
      <w:r>
        <w:t>Provide CI/CD and runtime recommendations without pretending causal certainty where only correlation exists.</w:t>
      </w:r>
    </w:p>
    <w:p>
      <w:pPr>
        <w:pStyle w:val="Heading1"/>
      </w:pPr>
      <w:r>
        <w:t>3. Two-Tier Product Strategy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Capability</w:t>
            </w:r>
          </w:p>
        </w:tc>
        <w:tc>
          <w:tcPr>
            <w:tcW w:type="dxa" w:w="3456"/>
            <w:vAlign w:val="center"/>
            <w:shd w:fill="1F4E78"/>
          </w:tcPr>
          <w:p>
            <w:r/>
            <w:r>
              <w:rPr>
                <w:rFonts w:ascii="Aptos" w:hAnsi="Aptos"/>
                <w:b/>
                <w:color w:val="FFFFFF"/>
                <w:sz w:val="16"/>
              </w:rPr>
              <w:t>Developer Edition / GDE MVP</w:t>
            </w:r>
          </w:p>
        </w:tc>
        <w:tc>
          <w:tcPr>
            <w:tcW w:type="dxa" w:w="3456"/>
            <w:vAlign w:val="center"/>
            <w:shd w:fill="1F4E78"/>
          </w:tcPr>
          <w:p>
            <w:r/>
            <w:r>
              <w:rPr>
                <w:rFonts w:ascii="Aptos" w:hAnsi="Aptos"/>
                <w:b/>
                <w:color w:val="FFFFFF"/>
                <w:sz w:val="16"/>
              </w:rPr>
              <w:t>Commercial Product</w:t>
            </w:r>
          </w:p>
        </w:tc>
      </w:tr>
      <w:tr>
        <w:tc>
          <w:tcPr>
            <w:tcW w:type="dxa" w:w="3456"/>
            <w:vAlign w:val="center"/>
          </w:tcPr>
          <w:p>
            <w:r/>
            <w:r>
              <w:rPr>
                <w:rFonts w:ascii="Aptos" w:hAnsi="Aptos"/>
                <w:b w:val="0"/>
                <w:sz w:val="16"/>
              </w:rPr>
              <w:t>Purpose</w:t>
            </w:r>
          </w:p>
        </w:tc>
        <w:tc>
          <w:tcPr>
            <w:tcW w:type="dxa" w:w="3456"/>
            <w:vAlign w:val="center"/>
          </w:tcPr>
          <w:p>
            <w:r/>
            <w:r>
              <w:rPr>
                <w:rFonts w:ascii="Aptos" w:hAnsi="Aptos"/>
                <w:b w:val="0"/>
                <w:sz w:val="16"/>
              </w:rPr>
              <w:t>Public proof of expertise and community contribution</w:t>
            </w:r>
          </w:p>
        </w:tc>
        <w:tc>
          <w:tcPr>
            <w:tcW w:type="dxa" w:w="3456"/>
            <w:vAlign w:val="center"/>
          </w:tcPr>
          <w:p>
            <w:r/>
            <w:r>
              <w:rPr>
                <w:rFonts w:ascii="Aptos" w:hAnsi="Aptos"/>
                <w:b w:val="0"/>
                <w:sz w:val="16"/>
              </w:rPr>
              <w:t>Scalable multi-tenant product</w:t>
            </w:r>
          </w:p>
        </w:tc>
      </w:tr>
      <w:tr>
        <w:tc>
          <w:tcPr>
            <w:tcW w:type="dxa" w:w="3456"/>
            <w:vAlign w:val="center"/>
            <w:shd w:fill="F4F7FA"/>
          </w:tcPr>
          <w:p>
            <w:r/>
            <w:r>
              <w:rPr>
                <w:rFonts w:ascii="Aptos" w:hAnsi="Aptos"/>
                <w:b w:val="0"/>
                <w:sz w:val="16"/>
              </w:rPr>
              <w:t>License</w:t>
            </w:r>
          </w:p>
        </w:tc>
        <w:tc>
          <w:tcPr>
            <w:tcW w:type="dxa" w:w="3456"/>
            <w:vAlign w:val="center"/>
            <w:shd w:fill="F4F7FA"/>
          </w:tcPr>
          <w:p>
            <w:r/>
            <w:r>
              <w:rPr>
                <w:rFonts w:ascii="Aptos" w:hAnsi="Aptos"/>
                <w:b w:val="0"/>
                <w:sz w:val="16"/>
              </w:rPr>
              <w:t>Open-source core recommended</w:t>
            </w:r>
          </w:p>
        </w:tc>
        <w:tc>
          <w:tcPr>
            <w:tcW w:type="dxa" w:w="3456"/>
            <w:vAlign w:val="center"/>
            <w:shd w:fill="F4F7FA"/>
          </w:tcPr>
          <w:p>
            <w:r/>
            <w:r>
              <w:rPr>
                <w:rFonts w:ascii="Aptos" w:hAnsi="Aptos"/>
                <w:b w:val="0"/>
                <w:sz w:val="16"/>
              </w:rPr>
              <w:t>Open-core or commercial SaaS/control plane</w:t>
            </w:r>
          </w:p>
        </w:tc>
      </w:tr>
      <w:tr>
        <w:tc>
          <w:tcPr>
            <w:tcW w:type="dxa" w:w="3456"/>
            <w:vAlign w:val="center"/>
          </w:tcPr>
          <w:p>
            <w:r/>
            <w:r>
              <w:rPr>
                <w:rFonts w:ascii="Aptos" w:hAnsi="Aptos"/>
                <w:b w:val="0"/>
                <w:sz w:val="16"/>
              </w:rPr>
              <w:t>Providers</w:t>
            </w:r>
          </w:p>
        </w:tc>
        <w:tc>
          <w:tcPr>
            <w:tcW w:type="dxa" w:w="3456"/>
            <w:vAlign w:val="center"/>
          </w:tcPr>
          <w:p>
            <w:r/>
            <w:r>
              <w:rPr>
                <w:rFonts w:ascii="Aptos" w:hAnsi="Aptos"/>
                <w:b w:val="0"/>
                <w:sz w:val="16"/>
              </w:rPr>
              <w:t>Gemini + Vertex AI + OpenAI-compatible adapter</w:t>
            </w:r>
          </w:p>
        </w:tc>
        <w:tc>
          <w:tcPr>
            <w:tcW w:type="dxa" w:w="3456"/>
            <w:vAlign w:val="center"/>
          </w:tcPr>
          <w:p>
            <w:r/>
            <w:r>
              <w:rPr>
                <w:rFonts w:ascii="Aptos" w:hAnsi="Aptos"/>
                <w:b w:val="0"/>
                <w:sz w:val="16"/>
              </w:rPr>
              <w:t>Broad provider catalog</w:t>
            </w:r>
          </w:p>
        </w:tc>
      </w:tr>
      <w:tr>
        <w:tc>
          <w:tcPr>
            <w:tcW w:type="dxa" w:w="3456"/>
            <w:vAlign w:val="center"/>
            <w:shd w:fill="F4F7FA"/>
          </w:tcPr>
          <w:p>
            <w:r/>
            <w:r>
              <w:rPr>
                <w:rFonts w:ascii="Aptos" w:hAnsi="Aptos"/>
                <w:b w:val="0"/>
                <w:sz w:val="16"/>
              </w:rPr>
              <w:t>Instrumentation</w:t>
            </w:r>
          </w:p>
        </w:tc>
        <w:tc>
          <w:tcPr>
            <w:tcW w:type="dxa" w:w="3456"/>
            <w:vAlign w:val="center"/>
            <w:shd w:fill="F4F7FA"/>
          </w:tcPr>
          <w:p>
            <w:r/>
            <w:r>
              <w:rPr>
                <w:rFonts w:ascii="Aptos" w:hAnsi="Aptos"/>
                <w:b w:val="0"/>
                <w:sz w:val="16"/>
              </w:rPr>
              <w:t>Python SDK + OpenTelemetry</w:t>
            </w:r>
          </w:p>
        </w:tc>
        <w:tc>
          <w:tcPr>
            <w:tcW w:type="dxa" w:w="3456"/>
            <w:vAlign w:val="center"/>
            <w:shd w:fill="F4F7FA"/>
          </w:tcPr>
          <w:p>
            <w:r/>
            <w:r>
              <w:rPr>
                <w:rFonts w:ascii="Aptos" w:hAnsi="Aptos"/>
                <w:b w:val="0"/>
                <w:sz w:val="16"/>
              </w:rPr>
              <w:t>Python/TS/Java/.NET SDKs, gateway, collectors</w:t>
            </w:r>
          </w:p>
        </w:tc>
      </w:tr>
      <w:tr>
        <w:tc>
          <w:tcPr>
            <w:tcW w:type="dxa" w:w="3456"/>
            <w:vAlign w:val="center"/>
          </w:tcPr>
          <w:p>
            <w:r/>
            <w:r>
              <w:rPr>
                <w:rFonts w:ascii="Aptos" w:hAnsi="Aptos"/>
                <w:b w:val="0"/>
                <w:sz w:val="16"/>
              </w:rPr>
              <w:t>SLOs</w:t>
            </w:r>
          </w:p>
        </w:tc>
        <w:tc>
          <w:tcPr>
            <w:tcW w:type="dxa" w:w="3456"/>
            <w:vAlign w:val="center"/>
          </w:tcPr>
          <w:p>
            <w:r/>
            <w:r>
              <w:rPr>
                <w:rFonts w:ascii="Aptos" w:hAnsi="Aptos"/>
                <w:b w:val="0"/>
                <w:sz w:val="16"/>
              </w:rPr>
              <w:t>6 outcome SLOs</w:t>
            </w:r>
          </w:p>
        </w:tc>
        <w:tc>
          <w:tcPr>
            <w:tcW w:type="dxa" w:w="3456"/>
            <w:vAlign w:val="center"/>
          </w:tcPr>
          <w:p>
            <w:r/>
            <w:r>
              <w:rPr>
                <w:rFonts w:ascii="Aptos" w:hAnsi="Aptos"/>
                <w:b w:val="0"/>
                <w:sz w:val="16"/>
              </w:rPr>
              <w:t>Advanced policies, service hierarchy, templates</w:t>
            </w:r>
          </w:p>
        </w:tc>
      </w:tr>
      <w:tr>
        <w:tc>
          <w:tcPr>
            <w:tcW w:type="dxa" w:w="3456"/>
            <w:vAlign w:val="center"/>
            <w:shd w:fill="F4F7FA"/>
          </w:tcPr>
          <w:p>
            <w:r/>
            <w:r>
              <w:rPr>
                <w:rFonts w:ascii="Aptos" w:hAnsi="Aptos"/>
                <w:b w:val="0"/>
                <w:sz w:val="16"/>
              </w:rPr>
              <w:t>Prompt Quality</w:t>
            </w:r>
          </w:p>
        </w:tc>
        <w:tc>
          <w:tcPr>
            <w:tcW w:type="dxa" w:w="3456"/>
            <w:vAlign w:val="center"/>
            <w:shd w:fill="F4F7FA"/>
          </w:tcPr>
          <w:p>
            <w:r/>
            <w:r>
              <w:rPr>
                <w:rFonts w:ascii="Aptos" w:hAnsi="Aptos"/>
                <w:b w:val="0"/>
                <w:sz w:val="16"/>
              </w:rPr>
              <w:t>Deterministic checks + optional Gemini evaluator</w:t>
            </w:r>
          </w:p>
        </w:tc>
        <w:tc>
          <w:tcPr>
            <w:tcW w:type="dxa" w:w="3456"/>
            <w:vAlign w:val="center"/>
            <w:shd w:fill="F4F7FA"/>
          </w:tcPr>
          <w:p>
            <w:r/>
            <w:r>
              <w:rPr>
                <w:rFonts w:ascii="Aptos" w:hAnsi="Aptos"/>
                <w:b w:val="0"/>
                <w:sz w:val="16"/>
              </w:rPr>
              <w:t>Pluggable evaluators, enterprise policies, version analytics</w:t>
            </w:r>
          </w:p>
        </w:tc>
      </w:tr>
      <w:tr>
        <w:tc>
          <w:tcPr>
            <w:tcW w:type="dxa" w:w="3456"/>
            <w:vAlign w:val="center"/>
          </w:tcPr>
          <w:p>
            <w:r/>
            <w:r>
              <w:rPr>
                <w:rFonts w:ascii="Aptos" w:hAnsi="Aptos"/>
                <w:b w:val="0"/>
                <w:sz w:val="16"/>
              </w:rPr>
              <w:t>Hallucination diagnostics</w:t>
            </w:r>
          </w:p>
        </w:tc>
        <w:tc>
          <w:tcPr>
            <w:tcW w:type="dxa" w:w="3456"/>
            <w:vAlign w:val="center"/>
          </w:tcPr>
          <w:p>
            <w:r/>
            <w:r>
              <w:rPr>
                <w:rFonts w:ascii="Aptos" w:hAnsi="Aptos"/>
                <w:b w:val="0"/>
                <w:sz w:val="16"/>
              </w:rPr>
              <w:t>Grounding/eval evidence + likely-contributor analysis</w:t>
            </w:r>
          </w:p>
        </w:tc>
        <w:tc>
          <w:tcPr>
            <w:tcW w:type="dxa" w:w="3456"/>
            <w:vAlign w:val="center"/>
          </w:tcPr>
          <w:p>
            <w:r/>
            <w:r>
              <w:rPr>
                <w:rFonts w:ascii="Aptos" w:hAnsi="Aptos"/>
                <w:b w:val="0"/>
                <w:sz w:val="16"/>
              </w:rPr>
              <w:t>Advanced attribution, datasets, regression history</w:t>
            </w:r>
          </w:p>
        </w:tc>
      </w:tr>
      <w:tr>
        <w:tc>
          <w:tcPr>
            <w:tcW w:type="dxa" w:w="3456"/>
            <w:vAlign w:val="center"/>
            <w:shd w:fill="F4F7FA"/>
          </w:tcPr>
          <w:p>
            <w:r/>
            <w:r>
              <w:rPr>
                <w:rFonts w:ascii="Aptos" w:hAnsi="Aptos"/>
                <w:b w:val="0"/>
                <w:sz w:val="16"/>
              </w:rPr>
              <w:t>Dashboard</w:t>
            </w:r>
          </w:p>
        </w:tc>
        <w:tc>
          <w:tcPr>
            <w:tcW w:type="dxa" w:w="3456"/>
            <w:vAlign w:val="center"/>
            <w:shd w:fill="F4F7FA"/>
          </w:tcPr>
          <w:p>
            <w:r/>
            <w:r>
              <w:rPr>
                <w:rFonts w:ascii="Aptos" w:hAnsi="Aptos"/>
                <w:b w:val="0"/>
                <w:sz w:val="16"/>
              </w:rPr>
              <w:t>Single-project developer dashboard</w:t>
            </w:r>
          </w:p>
        </w:tc>
        <w:tc>
          <w:tcPr>
            <w:tcW w:type="dxa" w:w="3456"/>
            <w:vAlign w:val="center"/>
            <w:shd w:fill="F4F7FA"/>
          </w:tcPr>
          <w:p>
            <w:r/>
            <w:r>
              <w:rPr>
                <w:rFonts w:ascii="Aptos" w:hAnsi="Aptos"/>
                <w:b w:val="0"/>
                <w:sz w:val="16"/>
              </w:rPr>
              <w:t>Organizations, teams, RBAC, estates, billing</w:t>
            </w:r>
          </w:p>
        </w:tc>
      </w:tr>
      <w:tr>
        <w:tc>
          <w:tcPr>
            <w:tcW w:type="dxa" w:w="3456"/>
            <w:vAlign w:val="center"/>
          </w:tcPr>
          <w:p>
            <w:r/>
            <w:r>
              <w:rPr>
                <w:rFonts w:ascii="Aptos" w:hAnsi="Aptos"/>
                <w:b w:val="0"/>
                <w:sz w:val="16"/>
              </w:rPr>
              <w:t>Storage</w:t>
            </w:r>
          </w:p>
        </w:tc>
        <w:tc>
          <w:tcPr>
            <w:tcW w:type="dxa" w:w="3456"/>
            <w:vAlign w:val="center"/>
          </w:tcPr>
          <w:p>
            <w:r/>
            <w:r>
              <w:rPr>
                <w:rFonts w:ascii="Aptos" w:hAnsi="Aptos"/>
                <w:b w:val="0"/>
                <w:sz w:val="16"/>
              </w:rPr>
              <w:t>PostgreSQL/SQLite-friendly local/dev</w:t>
            </w:r>
          </w:p>
        </w:tc>
        <w:tc>
          <w:tcPr>
            <w:tcW w:type="dxa" w:w="3456"/>
            <w:vAlign w:val="center"/>
          </w:tcPr>
          <w:p>
            <w:r/>
            <w:r>
              <w:rPr>
                <w:rFonts w:ascii="Aptos" w:hAnsi="Aptos"/>
                <w:b w:val="0"/>
                <w:sz w:val="16"/>
              </w:rPr>
              <w:t>Managed scalable telemetry stores</w:t>
            </w:r>
          </w:p>
        </w:tc>
      </w:tr>
      <w:tr>
        <w:tc>
          <w:tcPr>
            <w:tcW w:type="dxa" w:w="3456"/>
            <w:vAlign w:val="center"/>
            <w:shd w:fill="F4F7FA"/>
          </w:tcPr>
          <w:p>
            <w:r/>
            <w:r>
              <w:rPr>
                <w:rFonts w:ascii="Aptos" w:hAnsi="Aptos"/>
                <w:b w:val="0"/>
                <w:sz w:val="16"/>
              </w:rPr>
              <w:t>CI/CD</w:t>
            </w:r>
          </w:p>
        </w:tc>
        <w:tc>
          <w:tcPr>
            <w:tcW w:type="dxa" w:w="3456"/>
            <w:vAlign w:val="center"/>
            <w:shd w:fill="F4F7FA"/>
          </w:tcPr>
          <w:p>
            <w:r/>
            <w:r>
              <w:rPr>
                <w:rFonts w:ascii="Aptos" w:hAnsi="Aptos"/>
                <w:b w:val="0"/>
                <w:sz w:val="16"/>
              </w:rPr>
              <w:t>CLI or API quality gate example</w:t>
            </w:r>
          </w:p>
        </w:tc>
        <w:tc>
          <w:tcPr>
            <w:tcW w:type="dxa" w:w="3456"/>
            <w:vAlign w:val="center"/>
            <w:shd w:fill="F4F7FA"/>
          </w:tcPr>
          <w:p>
            <w:r/>
            <w:r>
              <w:rPr>
                <w:rFonts w:ascii="Aptos" w:hAnsi="Aptos"/>
                <w:b w:val="0"/>
                <w:sz w:val="16"/>
              </w:rPr>
              <w:t>GitHub/GitLab/Cloud Build integrations</w:t>
            </w:r>
          </w:p>
        </w:tc>
      </w:tr>
      <w:tr>
        <w:tc>
          <w:tcPr>
            <w:tcW w:type="dxa" w:w="3456"/>
            <w:vAlign w:val="center"/>
          </w:tcPr>
          <w:p>
            <w:r/>
            <w:r>
              <w:rPr>
                <w:rFonts w:ascii="Aptos" w:hAnsi="Aptos"/>
                <w:b w:val="0"/>
                <w:sz w:val="16"/>
              </w:rPr>
              <w:t>Runtime policy</w:t>
            </w:r>
          </w:p>
        </w:tc>
        <w:tc>
          <w:tcPr>
            <w:tcW w:type="dxa" w:w="3456"/>
            <w:vAlign w:val="center"/>
          </w:tcPr>
          <w:p>
            <w:r/>
            <w:r>
              <w:rPr>
                <w:rFonts w:ascii="Aptos" w:hAnsi="Aptos"/>
                <w:b w:val="0"/>
                <w:sz w:val="16"/>
              </w:rPr>
              <w:t>Recommendations only in v0.1</w:t>
            </w:r>
          </w:p>
        </w:tc>
        <w:tc>
          <w:tcPr>
            <w:tcW w:type="dxa" w:w="3456"/>
            <w:vAlign w:val="center"/>
          </w:tcPr>
          <w:p>
            <w:r/>
            <w:r>
              <w:rPr>
                <w:rFonts w:ascii="Aptos" w:hAnsi="Aptos"/>
                <w:b w:val="0"/>
                <w:sz w:val="16"/>
              </w:rPr>
              <w:t>Optional routing/fallback/release controls</w:t>
            </w:r>
          </w:p>
        </w:tc>
      </w:tr>
    </w:tbl>
    <w:p>
      <w:pPr>
        <w:pStyle w:val="Heading1"/>
      </w:pPr>
      <w:r>
        <w:t>4. GDE MVP Scope - Build This First</w:t>
      </w:r>
    </w:p>
    <w:p>
      <w:r>
        <w:t>The scaled-down version must be technically real, easy for another developer to run, explicitly use Google technology, and generate material you can teach publicly. Google states that GDE candidates need solid expertise in an area featuring Google technology, significant developer-community contributions such as speaking/publishing/mentoring, clear communication, and a referral from a Googler or existing GDE. The MVP therefore optimizes for demonstrable technical depth plus teachability, not enterprise feature breadth.</w:t>
      </w:r>
    </w:p>
    <w:p>
      <w:pPr>
        <w:pStyle w:val="Heading2"/>
      </w:pPr>
      <w:r>
        <w:t>4.1 Required v0.1 capabilities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ID</w:t>
            </w:r>
          </w:p>
        </w:tc>
        <w:tc>
          <w:tcPr>
            <w:tcW w:type="dxa" w:w="3456"/>
            <w:vAlign w:val="center"/>
            <w:shd w:fill="1F4E78"/>
          </w:tcPr>
          <w:p>
            <w:r/>
            <w:r>
              <w:rPr>
                <w:rFonts w:ascii="Aptos" w:hAnsi="Aptos"/>
                <w:b/>
                <w:color w:val="FFFFFF"/>
                <w:sz w:val="16"/>
              </w:rPr>
              <w:t>Capability</w:t>
            </w:r>
          </w:p>
        </w:tc>
        <w:tc>
          <w:tcPr>
            <w:tcW w:type="dxa" w:w="3456"/>
            <w:vAlign w:val="center"/>
            <w:shd w:fill="1F4E78"/>
          </w:tcPr>
          <w:p>
            <w:r/>
            <w:r>
              <w:rPr>
                <w:rFonts w:ascii="Aptos" w:hAnsi="Aptos"/>
                <w:b/>
                <w:color w:val="FFFFFF"/>
                <w:sz w:val="16"/>
              </w:rPr>
              <w:t>v0.1 acceptance criterion</w:t>
            </w:r>
          </w:p>
        </w:tc>
      </w:tr>
      <w:tr>
        <w:tc>
          <w:tcPr>
            <w:tcW w:type="dxa" w:w="3456"/>
            <w:vAlign w:val="center"/>
          </w:tcPr>
          <w:p>
            <w:r/>
            <w:r>
              <w:rPr>
                <w:rFonts w:ascii="Aptos" w:hAnsi="Aptos"/>
                <w:b w:val="0"/>
                <w:sz w:val="16"/>
              </w:rPr>
              <w:t>MVP-01</w:t>
            </w:r>
          </w:p>
        </w:tc>
        <w:tc>
          <w:tcPr>
            <w:tcW w:type="dxa" w:w="3456"/>
            <w:vAlign w:val="center"/>
          </w:tcPr>
          <w:p>
            <w:r/>
            <w:r>
              <w:rPr>
                <w:rFonts w:ascii="Aptos" w:hAnsi="Aptos"/>
                <w:b w:val="0"/>
                <w:sz w:val="16"/>
              </w:rPr>
              <w:t>Gemini instrumentation</w:t>
            </w:r>
          </w:p>
        </w:tc>
        <w:tc>
          <w:tcPr>
            <w:tcW w:type="dxa" w:w="3456"/>
            <w:vAlign w:val="center"/>
          </w:tcPr>
          <w:p>
            <w:r/>
            <w:r>
              <w:rPr>
                <w:rFonts w:ascii="Aptos" w:hAnsi="Aptos"/>
                <w:b w:val="0"/>
                <w:sz w:val="16"/>
              </w:rPr>
              <w:t>One wrapper captures provider/model, latency, tokens, status, transaction and trace IDs.</w:t>
            </w:r>
          </w:p>
        </w:tc>
      </w:tr>
      <w:tr>
        <w:tc>
          <w:tcPr>
            <w:tcW w:type="dxa" w:w="3456"/>
            <w:vAlign w:val="center"/>
            <w:shd w:fill="F4F7FA"/>
          </w:tcPr>
          <w:p>
            <w:r/>
            <w:r>
              <w:rPr>
                <w:rFonts w:ascii="Aptos" w:hAnsi="Aptos"/>
                <w:b w:val="0"/>
                <w:sz w:val="16"/>
              </w:rPr>
              <w:t>MVP-02</w:t>
            </w:r>
          </w:p>
        </w:tc>
        <w:tc>
          <w:tcPr>
            <w:tcW w:type="dxa" w:w="3456"/>
            <w:vAlign w:val="center"/>
            <w:shd w:fill="F4F7FA"/>
          </w:tcPr>
          <w:p>
            <w:r/>
            <w:r>
              <w:rPr>
                <w:rFonts w:ascii="Aptos" w:hAnsi="Aptos"/>
                <w:b w:val="0"/>
                <w:sz w:val="16"/>
              </w:rPr>
              <w:t>Vertex AI reference</w:t>
            </w:r>
          </w:p>
        </w:tc>
        <w:tc>
          <w:tcPr>
            <w:tcW w:type="dxa" w:w="3456"/>
            <w:vAlign w:val="center"/>
            <w:shd w:fill="F4F7FA"/>
          </w:tcPr>
          <w:p>
            <w:r/>
            <w:r>
              <w:rPr>
                <w:rFonts w:ascii="Aptos" w:hAnsi="Aptos"/>
                <w:b w:val="0"/>
                <w:sz w:val="16"/>
              </w:rPr>
              <w:t>Same normalized schema works with a Vertex AI example.</w:t>
            </w:r>
          </w:p>
        </w:tc>
      </w:tr>
      <w:tr>
        <w:tc>
          <w:tcPr>
            <w:tcW w:type="dxa" w:w="3456"/>
            <w:vAlign w:val="center"/>
          </w:tcPr>
          <w:p>
            <w:r/>
            <w:r>
              <w:rPr>
                <w:rFonts w:ascii="Aptos" w:hAnsi="Aptos"/>
                <w:b w:val="0"/>
                <w:sz w:val="16"/>
              </w:rPr>
              <w:t>MVP-03</w:t>
            </w:r>
          </w:p>
        </w:tc>
        <w:tc>
          <w:tcPr>
            <w:tcW w:type="dxa" w:w="3456"/>
            <w:vAlign w:val="center"/>
          </w:tcPr>
          <w:p>
            <w:r/>
            <w:r>
              <w:rPr>
                <w:rFonts w:ascii="Aptos" w:hAnsi="Aptos"/>
                <w:b w:val="0"/>
                <w:sz w:val="16"/>
              </w:rPr>
              <w:t>OpenTelemetry export</w:t>
            </w:r>
          </w:p>
        </w:tc>
        <w:tc>
          <w:tcPr>
            <w:tcW w:type="dxa" w:w="3456"/>
            <w:vAlign w:val="center"/>
          </w:tcPr>
          <w:p>
            <w:r/>
            <w:r>
              <w:rPr>
                <w:rFonts w:ascii="Aptos" w:hAnsi="Aptos"/>
                <w:b w:val="0"/>
                <w:sz w:val="16"/>
              </w:rPr>
              <w:t>Traces use/reuse OTel conventions where possible; custom fields are namespaced.</w:t>
            </w:r>
          </w:p>
        </w:tc>
      </w:tr>
      <w:tr>
        <w:tc>
          <w:tcPr>
            <w:tcW w:type="dxa" w:w="3456"/>
            <w:vAlign w:val="center"/>
            <w:shd w:fill="F4F7FA"/>
          </w:tcPr>
          <w:p>
            <w:r/>
            <w:r>
              <w:rPr>
                <w:rFonts w:ascii="Aptos" w:hAnsi="Aptos"/>
                <w:b w:val="0"/>
                <w:sz w:val="16"/>
              </w:rPr>
              <w:t>MVP-04</w:t>
            </w:r>
          </w:p>
        </w:tc>
        <w:tc>
          <w:tcPr>
            <w:tcW w:type="dxa" w:w="3456"/>
            <w:vAlign w:val="center"/>
            <w:shd w:fill="F4F7FA"/>
          </w:tcPr>
          <w:p>
            <w:r/>
            <w:r>
              <w:rPr>
                <w:rFonts w:ascii="Aptos" w:hAnsi="Aptos"/>
                <w:b w:val="0"/>
                <w:sz w:val="16"/>
              </w:rPr>
              <w:t>AI transaction model</w:t>
            </w:r>
          </w:p>
        </w:tc>
        <w:tc>
          <w:tcPr>
            <w:tcW w:type="dxa" w:w="3456"/>
            <w:vAlign w:val="center"/>
            <w:shd w:fill="F4F7FA"/>
          </w:tcPr>
          <w:p>
            <w:r/>
            <w:r>
              <w:rPr>
                <w:rFonts w:ascii="Aptos" w:hAnsi="Aptos"/>
                <w:b w:val="0"/>
                <w:sz w:val="16"/>
              </w:rPr>
              <w:t>One transaction can contain model, tool, retrieval, evaluation and response spans.</w:t>
            </w:r>
          </w:p>
        </w:tc>
      </w:tr>
      <w:tr>
        <w:tc>
          <w:tcPr>
            <w:tcW w:type="dxa" w:w="3456"/>
            <w:vAlign w:val="center"/>
          </w:tcPr>
          <w:p>
            <w:r/>
            <w:r>
              <w:rPr>
                <w:rFonts w:ascii="Aptos" w:hAnsi="Aptos"/>
                <w:b w:val="0"/>
                <w:sz w:val="16"/>
              </w:rPr>
              <w:t>MVP-05</w:t>
            </w:r>
          </w:p>
        </w:tc>
        <w:tc>
          <w:tcPr>
            <w:tcW w:type="dxa" w:w="3456"/>
            <w:vAlign w:val="center"/>
          </w:tcPr>
          <w:p>
            <w:r/>
            <w:r>
              <w:rPr>
                <w:rFonts w:ascii="Aptos" w:hAnsi="Aptos"/>
                <w:b w:val="0"/>
                <w:sz w:val="16"/>
              </w:rPr>
              <w:t>Six outcome SLOs</w:t>
            </w:r>
          </w:p>
        </w:tc>
        <w:tc>
          <w:tcPr>
            <w:tcW w:type="dxa" w:w="3456"/>
            <w:vAlign w:val="center"/>
          </w:tcPr>
          <w:p>
            <w:r/>
            <w:r>
              <w:rPr>
                <w:rFonts w:ascii="Aptos" w:hAnsi="Aptos"/>
                <w:b w:val="0"/>
                <w:sz w:val="16"/>
              </w:rPr>
              <w:t>Availability, Latency, Quality, Grounding, Safety, Efficiency are computed independently.</w:t>
            </w:r>
          </w:p>
        </w:tc>
      </w:tr>
      <w:tr>
        <w:tc>
          <w:tcPr>
            <w:tcW w:type="dxa" w:w="3456"/>
            <w:vAlign w:val="center"/>
            <w:shd w:fill="F4F7FA"/>
          </w:tcPr>
          <w:p>
            <w:r/>
            <w:r>
              <w:rPr>
                <w:rFonts w:ascii="Aptos" w:hAnsi="Aptos"/>
                <w:b w:val="0"/>
                <w:sz w:val="16"/>
              </w:rPr>
              <w:t>MVP-06</w:t>
            </w:r>
          </w:p>
        </w:tc>
        <w:tc>
          <w:tcPr>
            <w:tcW w:type="dxa" w:w="3456"/>
            <w:vAlign w:val="center"/>
            <w:shd w:fill="F4F7FA"/>
          </w:tcPr>
          <w:p>
            <w:r/>
            <w:r>
              <w:rPr>
                <w:rFonts w:ascii="Aptos" w:hAnsi="Aptos"/>
                <w:b w:val="0"/>
                <w:sz w:val="16"/>
              </w:rPr>
              <w:t>Efficiency envelope</w:t>
            </w:r>
          </w:p>
        </w:tc>
        <w:tc>
          <w:tcPr>
            <w:tcW w:type="dxa" w:w="3456"/>
            <w:vAlign w:val="center"/>
            <w:shd w:fill="F4F7FA"/>
          </w:tcPr>
          <w:p>
            <w:r/>
            <w:r>
              <w:rPr>
                <w:rFonts w:ascii="Aptos" w:hAnsi="Aptos"/>
                <w:b w:val="0"/>
                <w:sz w:val="16"/>
              </w:rPr>
              <w:t>Per-intent limits for model/tool calls, retries, tokens, latency and estimated cost.</w:t>
            </w:r>
          </w:p>
        </w:tc>
      </w:tr>
      <w:tr>
        <w:tc>
          <w:tcPr>
            <w:tcW w:type="dxa" w:w="3456"/>
            <w:vAlign w:val="center"/>
          </w:tcPr>
          <w:p>
            <w:r/>
            <w:r>
              <w:rPr>
                <w:rFonts w:ascii="Aptos" w:hAnsi="Aptos"/>
                <w:b w:val="0"/>
                <w:sz w:val="16"/>
              </w:rPr>
              <w:t>MVP-07</w:t>
            </w:r>
          </w:p>
        </w:tc>
        <w:tc>
          <w:tcPr>
            <w:tcW w:type="dxa" w:w="3456"/>
            <w:vAlign w:val="center"/>
          </w:tcPr>
          <w:p>
            <w:r/>
            <w:r>
              <w:rPr>
                <w:rFonts w:ascii="Aptos" w:hAnsi="Aptos"/>
                <w:b w:val="0"/>
                <w:sz w:val="16"/>
              </w:rPr>
              <w:t>Prompt Quality</w:t>
            </w:r>
          </w:p>
        </w:tc>
        <w:tc>
          <w:tcPr>
            <w:tcW w:type="dxa" w:w="3456"/>
            <w:vAlign w:val="center"/>
          </w:tcPr>
          <w:p>
            <w:r/>
            <w:r>
              <w:rPr>
                <w:rFonts w:ascii="Aptos" w:hAnsi="Aptos"/>
                <w:b w:val="0"/>
                <w:sz w:val="16"/>
              </w:rPr>
              <w:t>Scorecard with explainable subdimensions and recommendations.</w:t>
            </w:r>
          </w:p>
        </w:tc>
      </w:tr>
      <w:tr>
        <w:tc>
          <w:tcPr>
            <w:tcW w:type="dxa" w:w="3456"/>
            <w:vAlign w:val="center"/>
            <w:shd w:fill="F4F7FA"/>
          </w:tcPr>
          <w:p>
            <w:r/>
            <w:r>
              <w:rPr>
                <w:rFonts w:ascii="Aptos" w:hAnsi="Aptos"/>
                <w:b w:val="0"/>
                <w:sz w:val="16"/>
              </w:rPr>
              <w:t>MVP-08</w:t>
            </w:r>
          </w:p>
        </w:tc>
        <w:tc>
          <w:tcPr>
            <w:tcW w:type="dxa" w:w="3456"/>
            <w:vAlign w:val="center"/>
            <w:shd w:fill="F4F7FA"/>
          </w:tcPr>
          <w:p>
            <w:r/>
            <w:r>
              <w:rPr>
                <w:rFonts w:ascii="Aptos" w:hAnsi="Aptos"/>
                <w:b w:val="0"/>
                <w:sz w:val="16"/>
              </w:rPr>
              <w:t>Hallucination diagnostics</w:t>
            </w:r>
          </w:p>
        </w:tc>
        <w:tc>
          <w:tcPr>
            <w:tcW w:type="dxa" w:w="3456"/>
            <w:vAlign w:val="center"/>
            <w:shd w:fill="F4F7FA"/>
          </w:tcPr>
          <w:p>
            <w:r/>
            <w:r>
              <w:rPr>
                <w:rFonts w:ascii="Aptos" w:hAnsi="Aptos"/>
                <w:b w:val="0"/>
                <w:sz w:val="16"/>
              </w:rPr>
              <w:t>Show evidence of unsupported/ungrounded output and likely contributors; never claim false causal certainty.</w:t>
            </w:r>
          </w:p>
        </w:tc>
      </w:tr>
      <w:tr>
        <w:tc>
          <w:tcPr>
            <w:tcW w:type="dxa" w:w="3456"/>
            <w:vAlign w:val="center"/>
          </w:tcPr>
          <w:p>
            <w:r/>
            <w:r>
              <w:rPr>
                <w:rFonts w:ascii="Aptos" w:hAnsi="Aptos"/>
                <w:b w:val="0"/>
                <w:sz w:val="16"/>
              </w:rPr>
              <w:t>MVP-09</w:t>
            </w:r>
          </w:p>
        </w:tc>
        <w:tc>
          <w:tcPr>
            <w:tcW w:type="dxa" w:w="3456"/>
            <w:vAlign w:val="center"/>
          </w:tcPr>
          <w:p>
            <w:r/>
            <w:r>
              <w:rPr>
                <w:rFonts w:ascii="Aptos" w:hAnsi="Aptos"/>
                <w:b w:val="0"/>
                <w:sz w:val="16"/>
              </w:rPr>
              <w:t>Error budgets</w:t>
            </w:r>
          </w:p>
        </w:tc>
        <w:tc>
          <w:tcPr>
            <w:tcW w:type="dxa" w:w="3456"/>
            <w:vAlign w:val="center"/>
          </w:tcPr>
          <w:p>
            <w:r/>
            <w:r>
              <w:rPr>
                <w:rFonts w:ascii="Aptos" w:hAnsi="Aptos"/>
                <w:b w:val="0"/>
                <w:sz w:val="16"/>
              </w:rPr>
              <w:t>Compute remaining budget and simple burn rate for each SLO.</w:t>
            </w:r>
          </w:p>
        </w:tc>
      </w:tr>
      <w:tr>
        <w:tc>
          <w:tcPr>
            <w:tcW w:type="dxa" w:w="3456"/>
            <w:vAlign w:val="center"/>
            <w:shd w:fill="F4F7FA"/>
          </w:tcPr>
          <w:p>
            <w:r/>
            <w:r>
              <w:rPr>
                <w:rFonts w:ascii="Aptos" w:hAnsi="Aptos"/>
                <w:b w:val="0"/>
                <w:sz w:val="16"/>
              </w:rPr>
              <w:t>MVP-10</w:t>
            </w:r>
          </w:p>
        </w:tc>
        <w:tc>
          <w:tcPr>
            <w:tcW w:type="dxa" w:w="3456"/>
            <w:vAlign w:val="center"/>
            <w:shd w:fill="F4F7FA"/>
          </w:tcPr>
          <w:p>
            <w:r/>
            <w:r>
              <w:rPr>
                <w:rFonts w:ascii="Aptos" w:hAnsi="Aptos"/>
                <w:b w:val="0"/>
                <w:sz w:val="16"/>
              </w:rPr>
              <w:t>Dashboard</w:t>
            </w:r>
          </w:p>
        </w:tc>
        <w:tc>
          <w:tcPr>
            <w:tcW w:type="dxa" w:w="3456"/>
            <w:vAlign w:val="center"/>
            <w:shd w:fill="F4F7FA"/>
          </w:tcPr>
          <w:p>
            <w:r/>
            <w:r>
              <w:rPr>
                <w:rFonts w:ascii="Aptos" w:hAnsi="Aptos"/>
                <w:b w:val="0"/>
                <w:sz w:val="16"/>
              </w:rPr>
              <w:t>Developer can move from SLO violation to trace and diagnostic explanation.</w:t>
            </w:r>
          </w:p>
        </w:tc>
      </w:tr>
      <w:tr>
        <w:tc>
          <w:tcPr>
            <w:tcW w:type="dxa" w:w="3456"/>
            <w:vAlign w:val="center"/>
          </w:tcPr>
          <w:p>
            <w:r/>
            <w:r>
              <w:rPr>
                <w:rFonts w:ascii="Aptos" w:hAnsi="Aptos"/>
                <w:b w:val="0"/>
                <w:sz w:val="16"/>
              </w:rPr>
              <w:t>MVP-11</w:t>
            </w:r>
          </w:p>
        </w:tc>
        <w:tc>
          <w:tcPr>
            <w:tcW w:type="dxa" w:w="3456"/>
            <w:vAlign w:val="center"/>
          </w:tcPr>
          <w:p>
            <w:r/>
            <w:r>
              <w:rPr>
                <w:rFonts w:ascii="Aptos" w:hAnsi="Aptos"/>
                <w:b w:val="0"/>
                <w:sz w:val="16"/>
              </w:rPr>
              <w:t>CLI/CI example</w:t>
            </w:r>
          </w:p>
        </w:tc>
        <w:tc>
          <w:tcPr>
            <w:tcW w:type="dxa" w:w="3456"/>
            <w:vAlign w:val="center"/>
          </w:tcPr>
          <w:p>
            <w:r/>
            <w:r>
              <w:rPr>
                <w:rFonts w:ascii="Aptos" w:hAnsi="Aptos"/>
                <w:b w:val="0"/>
                <w:sz w:val="16"/>
              </w:rPr>
              <w:t>A prompt change can pass/fail a local regression gate.</w:t>
            </w:r>
          </w:p>
        </w:tc>
      </w:tr>
      <w:tr>
        <w:tc>
          <w:tcPr>
            <w:tcW w:type="dxa" w:w="3456"/>
            <w:vAlign w:val="center"/>
            <w:shd w:fill="F4F7FA"/>
          </w:tcPr>
          <w:p>
            <w:r/>
            <w:r>
              <w:rPr>
                <w:rFonts w:ascii="Aptos" w:hAnsi="Aptos"/>
                <w:b w:val="0"/>
                <w:sz w:val="16"/>
              </w:rPr>
              <w:t>MVP-12</w:t>
            </w:r>
          </w:p>
        </w:tc>
        <w:tc>
          <w:tcPr>
            <w:tcW w:type="dxa" w:w="3456"/>
            <w:vAlign w:val="center"/>
            <w:shd w:fill="F4F7FA"/>
          </w:tcPr>
          <w:p>
            <w:r/>
            <w:r>
              <w:rPr>
                <w:rFonts w:ascii="Aptos" w:hAnsi="Aptos"/>
                <w:b w:val="0"/>
                <w:sz w:val="16"/>
              </w:rPr>
              <w:t>Public docs/demo</w:t>
            </w:r>
          </w:p>
        </w:tc>
        <w:tc>
          <w:tcPr>
            <w:tcW w:type="dxa" w:w="3456"/>
            <w:vAlign w:val="center"/>
            <w:shd w:fill="F4F7FA"/>
          </w:tcPr>
          <w:p>
            <w:r/>
            <w:r>
              <w:rPr>
                <w:rFonts w:ascii="Aptos" w:hAnsi="Aptos"/>
                <w:b w:val="0"/>
                <w:sz w:val="16"/>
              </w:rPr>
              <w:t>5-minute quick start, architecture, sample app, article/demo-ready examples.</w:t>
            </w:r>
          </w:p>
        </w:tc>
      </w:tr>
    </w:tbl>
    <w:p>
      <w:pPr>
        <w:pStyle w:val="Heading1"/>
      </w:pPr>
      <w:r>
        <w:t>5. What Is Explicitly Out of Scope for the 7-Day MVP</w:t>
      </w:r>
    </w:p>
    <w:p>
      <w:pPr>
        <w:pStyle w:val="ListBullet"/>
        <w:spacing w:after="40"/>
      </w:pPr>
      <w:r>
        <w:t>Enterprise RBAC/SSO/SCIM</w:t>
      </w:r>
    </w:p>
    <w:p>
      <w:pPr>
        <w:pStyle w:val="ListBullet"/>
        <w:spacing w:after="40"/>
      </w:pPr>
      <w:r>
        <w:t>Multi-tenant billing</w:t>
      </w:r>
    </w:p>
    <w:p>
      <w:pPr>
        <w:pStyle w:val="ListBullet"/>
        <w:spacing w:after="40"/>
      </w:pPr>
      <w:r>
        <w:t>Kubernetes operator</w:t>
      </w:r>
    </w:p>
    <w:p>
      <w:pPr>
        <w:pStyle w:val="ListBullet"/>
        <w:spacing w:after="40"/>
      </w:pPr>
      <w:r>
        <w:t>Dozens of model providers</w:t>
      </w:r>
    </w:p>
    <w:p>
      <w:pPr>
        <w:pStyle w:val="ListBullet"/>
        <w:spacing w:after="40"/>
      </w:pPr>
      <w:r>
        <w:t>Full prompt-management platform</w:t>
      </w:r>
    </w:p>
    <w:p>
      <w:pPr>
        <w:pStyle w:val="ListBullet"/>
        <w:spacing w:after="40"/>
      </w:pPr>
      <w:r>
        <w:t>Enterprise document repository</w:t>
      </w:r>
    </w:p>
    <w:p>
      <w:pPr>
        <w:pStyle w:val="ListBullet"/>
        <w:spacing w:after="40"/>
      </w:pPr>
      <w:r>
        <w:t>Custom vector database</w:t>
      </w:r>
    </w:p>
    <w:p>
      <w:pPr>
        <w:pStyle w:val="ListBullet"/>
        <w:spacing w:after="40"/>
      </w:pPr>
      <w:r>
        <w:t>Sophisticated ML anomaly detection</w:t>
      </w:r>
    </w:p>
    <w:p>
      <w:pPr>
        <w:pStyle w:val="ListBullet"/>
        <w:spacing w:after="40"/>
      </w:pPr>
      <w:r>
        <w:t>Automatic production model switching</w:t>
      </w:r>
    </w:p>
    <w:p>
      <w:pPr>
        <w:pStyle w:val="ListBullet"/>
        <w:spacing w:after="40"/>
      </w:pPr>
      <w:r>
        <w:t>Patent-sensitive advanced runtime-control algorithms</w:t>
      </w:r>
    </w:p>
    <w:p>
      <w:pPr>
        <w:pStyle w:val="ListBullet"/>
        <w:spacing w:after="40"/>
      </w:pPr>
      <w:r>
        <w:t>Mobile SDKs</w:t>
      </w:r>
    </w:p>
    <w:p>
      <w:pPr>
        <w:pStyle w:val="Heading1"/>
      </w:pPr>
      <w:r>
        <w:t>6. Reference Architecture</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5"/>
              </w:rPr>
              <w:t>Developer Application / Agent</w:t>
              <w:br/>
              <w:t xml:space="preserve">        |</w:t>
              <w:br/>
              <w:t xml:space="preserve">        +-- UI / document upload / RAG / tools</w:t>
              <w:br/>
              <w:t xml:space="preserve">        |</w:t>
              <w:br/>
              <w:t xml:space="preserve">        v</w:t>
              <w:br/>
              <w:t>AI Reliability SDK  ---------------------&gt; OpenTelemetry Collector</w:t>
              <w:br/>
              <w:t xml:space="preserve">        |                                         |</w:t>
              <w:br/>
              <w:t xml:space="preserve">        +--&gt; Gemini / Vertex AI / other LLM       v</w:t>
              <w:br/>
              <w:t xml:space="preserve">        |                                  Telemetry Ingest API</w:t>
              <w:br/>
              <w:t xml:space="preserve">        |                                         |</w:t>
              <w:br/>
              <w:t xml:space="preserve">        v                                         v</w:t>
              <w:br/>
              <w:t>Normalized AI Transaction ----------------&gt; PostgreSQL / metrics</w:t>
              <w:br/>
              <w:t xml:space="preserve">                                                  |</w:t>
              <w:br/>
              <w:t xml:space="preserve">                                                  v</w:t>
              <w:br/>
              <w:t xml:space="preserve">                                      Reliability Analysis Engine</w:t>
              <w:br/>
              <w:t xml:space="preserve">                                      | SLO Engine</w:t>
              <w:br/>
              <w:t xml:space="preserve">                                      | Prompt Quality Engine</w:t>
              <w:br/>
              <w:t xml:space="preserve">                                      | Grounding/Eval Engine</w:t>
              <w:br/>
              <w:t xml:space="preserve">                                      | Efficiency Engine</w:t>
              <w:br/>
              <w:t xml:space="preserve">                                      | Error Budget/Burn Engine</w:t>
              <w:br/>
              <w:t xml:space="preserve">                                                  |</w:t>
              <w:br/>
              <w:t xml:space="preserve">                                                  v</w:t>
              <w:br/>
              <w:t xml:space="preserve">                                        Developer Dashboard / API</w:t>
              <w:br/>
              <w:t xml:space="preserve">                                                  |</w:t>
              <w:br/>
              <w:t xml:space="preserve">                                         CI Gate / Recommendations</w:t>
            </w:r>
          </w:p>
        </w:tc>
      </w:tr>
    </w:tbl>
    <w:p>
      <w:pPr>
        <w:pStyle w:val="Heading1"/>
      </w:pPr>
      <w:r>
        <w:t>7. Do You Need Your Own AI API?</w:t>
      </w:r>
    </w:p>
    <w:p>
      <w:r>
        <w:t>There are three separate roles that must not be confused: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Role</w:t>
            </w:r>
          </w:p>
        </w:tc>
        <w:tc>
          <w:tcPr>
            <w:tcW w:type="dxa" w:w="3456"/>
            <w:vAlign w:val="center"/>
            <w:shd w:fill="1F4E78"/>
          </w:tcPr>
          <w:p>
            <w:r/>
            <w:r>
              <w:rPr>
                <w:rFonts w:ascii="Aptos" w:hAnsi="Aptos"/>
                <w:b/>
                <w:color w:val="FFFFFF"/>
                <w:sz w:val="16"/>
              </w:rPr>
              <w:t>Who owns it?</w:t>
            </w:r>
          </w:p>
        </w:tc>
        <w:tc>
          <w:tcPr>
            <w:tcW w:type="dxa" w:w="3456"/>
            <w:vAlign w:val="center"/>
            <w:shd w:fill="1F4E78"/>
          </w:tcPr>
          <w:p>
            <w:r/>
            <w:r>
              <w:rPr>
                <w:rFonts w:ascii="Aptos" w:hAnsi="Aptos"/>
                <w:b/>
                <w:color w:val="FFFFFF"/>
                <w:sz w:val="16"/>
              </w:rPr>
              <w:t>Recommendation</w:t>
            </w:r>
          </w:p>
        </w:tc>
      </w:tr>
      <w:tr>
        <w:tc>
          <w:tcPr>
            <w:tcW w:type="dxa" w:w="3456"/>
            <w:vAlign w:val="center"/>
          </w:tcPr>
          <w:p>
            <w:r/>
            <w:r>
              <w:rPr>
                <w:rFonts w:ascii="Aptos" w:hAnsi="Aptos"/>
                <w:b w:val="0"/>
                <w:sz w:val="16"/>
              </w:rPr>
              <w:t>Workload model</w:t>
            </w:r>
          </w:p>
        </w:tc>
        <w:tc>
          <w:tcPr>
            <w:tcW w:type="dxa" w:w="3456"/>
            <w:vAlign w:val="center"/>
          </w:tcPr>
          <w:p>
            <w:r/>
            <w:r>
              <w:rPr>
                <w:rFonts w:ascii="Aptos" w:hAnsi="Aptos"/>
                <w:b w:val="0"/>
                <w:sz w:val="16"/>
              </w:rPr>
              <w:t>Customer/developer</w:t>
            </w:r>
          </w:p>
        </w:tc>
        <w:tc>
          <w:tcPr>
            <w:tcW w:type="dxa" w:w="3456"/>
            <w:vAlign w:val="center"/>
          </w:tcPr>
          <w:p>
            <w:r/>
            <w:r>
              <w:rPr>
                <w:rFonts w:ascii="Aptos" w:hAnsi="Aptos"/>
                <w:b w:val="0"/>
                <w:sz w:val="16"/>
              </w:rPr>
              <w:t>Customer brings Gemini/Vertex/other provider. Never require your own model.</w:t>
            </w:r>
          </w:p>
        </w:tc>
      </w:tr>
      <w:tr>
        <w:tc>
          <w:tcPr>
            <w:tcW w:type="dxa" w:w="3456"/>
            <w:vAlign w:val="center"/>
            <w:shd w:fill="F4F7FA"/>
          </w:tcPr>
          <w:p>
            <w:r/>
            <w:r>
              <w:rPr>
                <w:rFonts w:ascii="Aptos" w:hAnsi="Aptos"/>
                <w:b w:val="0"/>
                <w:sz w:val="16"/>
              </w:rPr>
              <w:t>Demo model</w:t>
            </w:r>
          </w:p>
        </w:tc>
        <w:tc>
          <w:tcPr>
            <w:tcW w:type="dxa" w:w="3456"/>
            <w:vAlign w:val="center"/>
            <w:shd w:fill="F4F7FA"/>
          </w:tcPr>
          <w:p>
            <w:r/>
            <w:r>
              <w:rPr>
                <w:rFonts w:ascii="Aptos" w:hAnsi="Aptos"/>
                <w:b w:val="0"/>
                <w:sz w:val="16"/>
              </w:rPr>
              <w:t>You</w:t>
            </w:r>
          </w:p>
        </w:tc>
        <w:tc>
          <w:tcPr>
            <w:tcW w:type="dxa" w:w="3456"/>
            <w:vAlign w:val="center"/>
            <w:shd w:fill="F4F7FA"/>
          </w:tcPr>
          <w:p>
            <w:r/>
            <w:r>
              <w:rPr>
                <w:rFonts w:ascii="Aptos" w:hAnsi="Aptos"/>
                <w:b w:val="0"/>
                <w:sz w:val="16"/>
              </w:rPr>
              <w:t>Use a project-owned Gemini API key for public samples and controlled demos.</w:t>
            </w:r>
          </w:p>
        </w:tc>
      </w:tr>
      <w:tr>
        <w:tc>
          <w:tcPr>
            <w:tcW w:type="dxa" w:w="3456"/>
            <w:vAlign w:val="center"/>
          </w:tcPr>
          <w:p>
            <w:r/>
            <w:r>
              <w:rPr>
                <w:rFonts w:ascii="Aptos" w:hAnsi="Aptos"/>
                <w:b w:val="0"/>
                <w:sz w:val="16"/>
              </w:rPr>
              <w:t>Evaluator model</w:t>
            </w:r>
          </w:p>
        </w:tc>
        <w:tc>
          <w:tcPr>
            <w:tcW w:type="dxa" w:w="3456"/>
            <w:vAlign w:val="center"/>
          </w:tcPr>
          <w:p>
            <w:r/>
            <w:r>
              <w:rPr>
                <w:rFonts w:ascii="Aptos" w:hAnsi="Aptos"/>
                <w:b w:val="0"/>
                <w:sz w:val="16"/>
              </w:rPr>
              <w:t>Configurable</w:t>
            </w:r>
          </w:p>
        </w:tc>
        <w:tc>
          <w:tcPr>
            <w:tcW w:type="dxa" w:w="3456"/>
            <w:vAlign w:val="center"/>
          </w:tcPr>
          <w:p>
            <w:r/>
            <w:r>
              <w:rPr>
                <w:rFonts w:ascii="Aptos" w:hAnsi="Aptos"/>
                <w:b w:val="0"/>
                <w:sz w:val="16"/>
              </w:rPr>
              <w:t>Support deterministic evaluation first; optionally call Gemini or another evaluator with explicit consent/configuration.</w:t>
            </w:r>
          </w:p>
        </w:tc>
      </w:tr>
    </w:tbl>
    <w:p>
      <w:pPr>
        <w:pStyle w:val="Heading2"/>
      </w:pPr>
      <w:r>
        <w:t>7.1 Recommended evaluator modes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Mode</w:t>
            </w:r>
          </w:p>
        </w:tc>
        <w:tc>
          <w:tcPr>
            <w:tcW w:type="dxa" w:w="3456"/>
            <w:vAlign w:val="center"/>
            <w:shd w:fill="1F4E78"/>
          </w:tcPr>
          <w:p>
            <w:r/>
            <w:r>
              <w:rPr>
                <w:rFonts w:ascii="Aptos" w:hAnsi="Aptos"/>
                <w:b/>
                <w:color w:val="FFFFFF"/>
                <w:sz w:val="16"/>
              </w:rPr>
              <w:t>Description</w:t>
            </w:r>
          </w:p>
        </w:tc>
        <w:tc>
          <w:tcPr>
            <w:tcW w:type="dxa" w:w="3456"/>
            <w:vAlign w:val="center"/>
            <w:shd w:fill="1F4E78"/>
          </w:tcPr>
          <w:p>
            <w:r/>
            <w:r>
              <w:rPr>
                <w:rFonts w:ascii="Aptos" w:hAnsi="Aptos"/>
                <w:b/>
                <w:color w:val="FFFFFF"/>
                <w:sz w:val="16"/>
              </w:rPr>
              <w:t>Privacy/cost profile</w:t>
            </w:r>
          </w:p>
        </w:tc>
      </w:tr>
      <w:tr>
        <w:tc>
          <w:tcPr>
            <w:tcW w:type="dxa" w:w="3456"/>
            <w:vAlign w:val="center"/>
          </w:tcPr>
          <w:p>
            <w:r/>
            <w:r>
              <w:rPr>
                <w:rFonts w:ascii="Aptos" w:hAnsi="Aptos"/>
                <w:b w:val="0"/>
                <w:sz w:val="16"/>
              </w:rPr>
              <w:t>Deterministic</w:t>
            </w:r>
          </w:p>
        </w:tc>
        <w:tc>
          <w:tcPr>
            <w:tcW w:type="dxa" w:w="3456"/>
            <w:vAlign w:val="center"/>
          </w:tcPr>
          <w:p>
            <w:r/>
            <w:r>
              <w:rPr>
                <w:rFonts w:ascii="Aptos" w:hAnsi="Aptos"/>
                <w:b w:val="0"/>
                <w:sz w:val="16"/>
              </w:rPr>
              <w:t>Static checks, schemas, token/context analysis, required clauses, citation presence, duplicate-call detection</w:t>
            </w:r>
          </w:p>
        </w:tc>
        <w:tc>
          <w:tcPr>
            <w:tcW w:type="dxa" w:w="3456"/>
            <w:vAlign w:val="center"/>
          </w:tcPr>
          <w:p>
            <w:r/>
            <w:r>
              <w:rPr>
                <w:rFonts w:ascii="Aptos" w:hAnsi="Aptos"/>
                <w:b w:val="0"/>
                <w:sz w:val="16"/>
              </w:rPr>
              <w:t>Lowest cost; no external content disclosure</w:t>
            </w:r>
          </w:p>
        </w:tc>
      </w:tr>
      <w:tr>
        <w:tc>
          <w:tcPr>
            <w:tcW w:type="dxa" w:w="3456"/>
            <w:vAlign w:val="center"/>
            <w:shd w:fill="F4F7FA"/>
          </w:tcPr>
          <w:p>
            <w:r/>
            <w:r>
              <w:rPr>
                <w:rFonts w:ascii="Aptos" w:hAnsi="Aptos"/>
                <w:b w:val="0"/>
                <w:sz w:val="16"/>
              </w:rPr>
              <w:t>Customer evaluator</w:t>
            </w:r>
          </w:p>
        </w:tc>
        <w:tc>
          <w:tcPr>
            <w:tcW w:type="dxa" w:w="3456"/>
            <w:vAlign w:val="center"/>
            <w:shd w:fill="F4F7FA"/>
          </w:tcPr>
          <w:p>
            <w:r/>
            <w:r>
              <w:rPr>
                <w:rFonts w:ascii="Aptos" w:hAnsi="Aptos"/>
                <w:b w:val="0"/>
                <w:sz w:val="16"/>
              </w:rPr>
              <w:t>Evaluation executes using customer's own Gemini/Vertex credentials</w:t>
            </w:r>
          </w:p>
        </w:tc>
        <w:tc>
          <w:tcPr>
            <w:tcW w:type="dxa" w:w="3456"/>
            <w:vAlign w:val="center"/>
            <w:shd w:fill="F4F7FA"/>
          </w:tcPr>
          <w:p>
            <w:r/>
            <w:r>
              <w:rPr>
                <w:rFonts w:ascii="Aptos" w:hAnsi="Aptos"/>
                <w:b w:val="0"/>
                <w:sz w:val="16"/>
              </w:rPr>
              <w:t>Best default for enterprises</w:t>
            </w:r>
          </w:p>
        </w:tc>
      </w:tr>
      <w:tr>
        <w:tc>
          <w:tcPr>
            <w:tcW w:type="dxa" w:w="3456"/>
            <w:vAlign w:val="center"/>
          </w:tcPr>
          <w:p>
            <w:r/>
            <w:r>
              <w:rPr>
                <w:rFonts w:ascii="Aptos" w:hAnsi="Aptos"/>
                <w:b w:val="0"/>
                <w:sz w:val="16"/>
              </w:rPr>
              <w:t>Managed evaluator</w:t>
            </w:r>
          </w:p>
        </w:tc>
        <w:tc>
          <w:tcPr>
            <w:tcW w:type="dxa" w:w="3456"/>
            <w:vAlign w:val="center"/>
          </w:tcPr>
          <w:p>
            <w:r/>
            <w:r>
              <w:rPr>
                <w:rFonts w:ascii="Aptos" w:hAnsi="Aptos"/>
                <w:b w:val="0"/>
                <w:sz w:val="16"/>
              </w:rPr>
              <w:t>Your SaaS invokes a model under your account</w:t>
            </w:r>
          </w:p>
        </w:tc>
        <w:tc>
          <w:tcPr>
            <w:tcW w:type="dxa" w:w="3456"/>
            <w:vAlign w:val="center"/>
          </w:tcPr>
          <w:p>
            <w:r/>
            <w:r>
              <w:rPr>
                <w:rFonts w:ascii="Aptos" w:hAnsi="Aptos"/>
                <w:b w:val="0"/>
                <w:sz w:val="16"/>
              </w:rPr>
              <w:t>Convenient but creates cost, data-processing, security and margin obligations</w:t>
            </w:r>
          </w:p>
        </w:tc>
      </w:tr>
      <w:tr>
        <w:tc>
          <w:tcPr>
            <w:tcW w:type="dxa" w:w="3456"/>
            <w:vAlign w:val="center"/>
            <w:shd w:fill="F4F7FA"/>
          </w:tcPr>
          <w:p>
            <w:r/>
            <w:r>
              <w:rPr>
                <w:rFonts w:ascii="Aptos" w:hAnsi="Aptos"/>
                <w:b w:val="0"/>
                <w:sz w:val="16"/>
              </w:rPr>
              <w:t>Hybrid</w:t>
            </w:r>
          </w:p>
        </w:tc>
        <w:tc>
          <w:tcPr>
            <w:tcW w:type="dxa" w:w="3456"/>
            <w:vAlign w:val="center"/>
            <w:shd w:fill="F4F7FA"/>
          </w:tcPr>
          <w:p>
            <w:r/>
            <w:r>
              <w:rPr>
                <w:rFonts w:ascii="Aptos" w:hAnsi="Aptos"/>
                <w:b w:val="0"/>
                <w:sz w:val="16"/>
              </w:rPr>
              <w:t>Deterministic first; model evaluator only when needed</w:t>
            </w:r>
          </w:p>
        </w:tc>
        <w:tc>
          <w:tcPr>
            <w:tcW w:type="dxa" w:w="3456"/>
            <w:vAlign w:val="center"/>
            <w:shd w:fill="F4F7FA"/>
          </w:tcPr>
          <w:p>
            <w:r/>
            <w:r>
              <w:rPr>
                <w:rFonts w:ascii="Aptos" w:hAnsi="Aptos"/>
                <w:b w:val="0"/>
                <w:sz w:val="16"/>
              </w:rPr>
              <w:t>Recommended commercial architecture</w:t>
            </w:r>
          </w:p>
        </w:tc>
      </w:tr>
    </w:tbl>
    <w:p>
      <w:r>
        <w:t>Recommendation: do not make a proprietary AI API a prerequisite. Make the platform useful with telemetry alone. Add model-assisted evaluation as an optional capability. This reduces cost, security exposure, vendor lock-in, and adoption friction.</w:t>
      </w:r>
    </w:p>
    <w:p>
      <w:pPr>
        <w:pStyle w:val="Heading1"/>
      </w:pPr>
      <w:r>
        <w:t>8. Data and Telemetry Contract</w:t>
      </w:r>
    </w:p>
    <w:p>
      <w:pPr>
        <w:pStyle w:val="Heading2"/>
      </w:pPr>
      <w:r>
        <w:t>8.1 Transaction fields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5"/>
              </w:rPr>
              <w:t>transaction_id</w:t>
              <w:br/>
              <w:t>trace_id</w:t>
              <w:br/>
              <w:t>session_id (optional/pseudonymous)</w:t>
              <w:br/>
              <w:t>service.name</w:t>
              <w:br/>
              <w:t>service.version</w:t>
              <w:br/>
              <w:t>environment</w:t>
              <w:br/>
              <w:t>provider</w:t>
              <w:br/>
              <w:t>request_model</w:t>
              <w:br/>
              <w:t>response_model</w:t>
              <w:br/>
              <w:t>intent</w:t>
              <w:br/>
              <w:t>prompt_version</w:t>
              <w:br/>
              <w:t>application_version</w:t>
              <w:br/>
              <w:t>start_time</w:t>
              <w:br/>
              <w:t>end_time</w:t>
              <w:br/>
              <w:t>outcome_status</w:t>
            </w:r>
          </w:p>
        </w:tc>
      </w:tr>
    </w:tbl>
    <w:p>
      <w:pPr>
        <w:pStyle w:val="Heading2"/>
      </w:pPr>
      <w:r>
        <w:t>8.2 Execution metrics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5"/>
              </w:rPr>
              <w:t>model_calls</w:t>
              <w:br/>
              <w:t>tool_calls</w:t>
              <w:br/>
              <w:t>retrieval_calls</w:t>
              <w:br/>
              <w:t>embedding_calls</w:t>
              <w:br/>
              <w:t>retries</w:t>
              <w:br/>
              <w:t>duplicate_tool_calls</w:t>
              <w:br/>
              <w:t>input_tokens</w:t>
              <w:br/>
              <w:t>output_tokens</w:t>
              <w:br/>
              <w:t>cached_tokens</w:t>
              <w:br/>
              <w:t>repeated_context_tokens (when measurable)</w:t>
              <w:br/>
              <w:t>time_to_first_token_ms</w:t>
              <w:br/>
              <w:t>total_latency_ms</w:t>
              <w:br/>
              <w:t>estimated_cost</w:t>
              <w:br/>
              <w:t>successful_outcome</w:t>
              <w:br/>
              <w:t>within_efficiency_envelope</w:t>
            </w:r>
          </w:p>
        </w:tc>
      </w:tr>
    </w:tbl>
    <w:p>
      <w:r>
        <w:t>OpenTelemetry already defines general semantic conventions and has dedicated Generative AI conventions. Reuse those attributes rather than inventing replacements; custom reliability fields should use a project namespace. OpenTelemetry also warns that GenAI input/output message attributes can contain sensitive/PII data, so content capture must be opt-in.</w:t>
      </w:r>
    </w:p>
    <w:p>
      <w:pPr>
        <w:pStyle w:val="Heading1"/>
      </w:pPr>
      <w:r>
        <w:t>9. AI Reliability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Dimension</w:t>
            </w:r>
          </w:p>
        </w:tc>
        <w:tc>
          <w:tcPr>
            <w:tcW w:type="dxa" w:w="3456"/>
            <w:vAlign w:val="center"/>
            <w:shd w:fill="1F4E78"/>
          </w:tcPr>
          <w:p>
            <w:r/>
            <w:r>
              <w:rPr>
                <w:rFonts w:ascii="Aptos" w:hAnsi="Aptos"/>
                <w:b/>
                <w:color w:val="FFFFFF"/>
                <w:sz w:val="16"/>
              </w:rPr>
              <w:t>Good-event definition example</w:t>
            </w:r>
          </w:p>
        </w:tc>
        <w:tc>
          <w:tcPr>
            <w:tcW w:type="dxa" w:w="3456"/>
            <w:vAlign w:val="center"/>
            <w:shd w:fill="1F4E78"/>
          </w:tcPr>
          <w:p>
            <w:r/>
            <w:r>
              <w:rPr>
                <w:rFonts w:ascii="Aptos" w:hAnsi="Aptos"/>
                <w:b/>
                <w:color w:val="FFFFFF"/>
                <w:sz w:val="16"/>
              </w:rPr>
              <w:t>Example target</w:t>
            </w:r>
          </w:p>
        </w:tc>
      </w:tr>
      <w:tr>
        <w:tc>
          <w:tcPr>
            <w:tcW w:type="dxa" w:w="3456"/>
            <w:vAlign w:val="center"/>
          </w:tcPr>
          <w:p>
            <w:r/>
            <w:r>
              <w:rPr>
                <w:rFonts w:ascii="Aptos" w:hAnsi="Aptos"/>
                <w:b w:val="0"/>
                <w:sz w:val="16"/>
              </w:rPr>
              <w:t>Availability</w:t>
            </w:r>
          </w:p>
        </w:tc>
        <w:tc>
          <w:tcPr>
            <w:tcW w:type="dxa" w:w="3456"/>
            <w:vAlign w:val="center"/>
          </w:tcPr>
          <w:p>
            <w:r/>
            <w:r>
              <w:rPr>
                <w:rFonts w:ascii="Aptos" w:hAnsi="Aptos"/>
                <w:b w:val="0"/>
                <w:sz w:val="16"/>
              </w:rPr>
              <w:t>Eligible transaction produces structurally valid completion</w:t>
            </w:r>
          </w:p>
        </w:tc>
        <w:tc>
          <w:tcPr>
            <w:tcW w:type="dxa" w:w="3456"/>
            <w:vAlign w:val="center"/>
          </w:tcPr>
          <w:p>
            <w:r/>
            <w:r>
              <w:rPr>
                <w:rFonts w:ascii="Aptos" w:hAnsi="Aptos"/>
                <w:b w:val="0"/>
                <w:sz w:val="16"/>
              </w:rPr>
              <w:t>99.9%</w:t>
            </w:r>
          </w:p>
        </w:tc>
      </w:tr>
      <w:tr>
        <w:tc>
          <w:tcPr>
            <w:tcW w:type="dxa" w:w="3456"/>
            <w:vAlign w:val="center"/>
            <w:shd w:fill="F4F7FA"/>
          </w:tcPr>
          <w:p>
            <w:r/>
            <w:r>
              <w:rPr>
                <w:rFonts w:ascii="Aptos" w:hAnsi="Aptos"/>
                <w:b w:val="0"/>
                <w:sz w:val="16"/>
              </w:rPr>
              <w:t>Latency</w:t>
            </w:r>
          </w:p>
        </w:tc>
        <w:tc>
          <w:tcPr>
            <w:tcW w:type="dxa" w:w="3456"/>
            <w:vAlign w:val="center"/>
            <w:shd w:fill="F4F7FA"/>
          </w:tcPr>
          <w:p>
            <w:r/>
            <w:r>
              <w:rPr>
                <w:rFonts w:ascii="Aptos" w:hAnsi="Aptos"/>
                <w:b w:val="0"/>
                <w:sz w:val="16"/>
              </w:rPr>
              <w:t>Eligible transaction completes within intent threshold</w:t>
            </w:r>
          </w:p>
        </w:tc>
        <w:tc>
          <w:tcPr>
            <w:tcW w:type="dxa" w:w="3456"/>
            <w:vAlign w:val="center"/>
            <w:shd w:fill="F4F7FA"/>
          </w:tcPr>
          <w:p>
            <w:r/>
            <w:r>
              <w:rPr>
                <w:rFonts w:ascii="Aptos" w:hAnsi="Aptos"/>
                <w:b w:val="0"/>
                <w:sz w:val="16"/>
              </w:rPr>
              <w:t>99%</w:t>
            </w:r>
          </w:p>
        </w:tc>
      </w:tr>
      <w:tr>
        <w:tc>
          <w:tcPr>
            <w:tcW w:type="dxa" w:w="3456"/>
            <w:vAlign w:val="center"/>
          </w:tcPr>
          <w:p>
            <w:r/>
            <w:r>
              <w:rPr>
                <w:rFonts w:ascii="Aptos" w:hAnsi="Aptos"/>
                <w:b w:val="0"/>
                <w:sz w:val="16"/>
              </w:rPr>
              <w:t>Quality</w:t>
            </w:r>
          </w:p>
        </w:tc>
        <w:tc>
          <w:tcPr>
            <w:tcW w:type="dxa" w:w="3456"/>
            <w:vAlign w:val="center"/>
          </w:tcPr>
          <w:p>
            <w:r/>
            <w:r>
              <w:rPr>
                <w:rFonts w:ascii="Aptos" w:hAnsi="Aptos"/>
                <w:b w:val="0"/>
                <w:sz w:val="16"/>
              </w:rPr>
              <w:t>Evaluated outcome meets rubric threshold</w:t>
            </w:r>
          </w:p>
        </w:tc>
        <w:tc>
          <w:tcPr>
            <w:tcW w:type="dxa" w:w="3456"/>
            <w:vAlign w:val="center"/>
          </w:tcPr>
          <w:p>
            <w:r/>
            <w:r>
              <w:rPr>
                <w:rFonts w:ascii="Aptos" w:hAnsi="Aptos"/>
                <w:b w:val="0"/>
                <w:sz w:val="16"/>
              </w:rPr>
              <w:t>97%</w:t>
            </w:r>
          </w:p>
        </w:tc>
      </w:tr>
      <w:tr>
        <w:tc>
          <w:tcPr>
            <w:tcW w:type="dxa" w:w="3456"/>
            <w:vAlign w:val="center"/>
            <w:shd w:fill="F4F7FA"/>
          </w:tcPr>
          <w:p>
            <w:r/>
            <w:r>
              <w:rPr>
                <w:rFonts w:ascii="Aptos" w:hAnsi="Aptos"/>
                <w:b w:val="0"/>
                <w:sz w:val="16"/>
              </w:rPr>
              <w:t>Grounding</w:t>
            </w:r>
          </w:p>
        </w:tc>
        <w:tc>
          <w:tcPr>
            <w:tcW w:type="dxa" w:w="3456"/>
            <w:vAlign w:val="center"/>
            <w:shd w:fill="F4F7FA"/>
          </w:tcPr>
          <w:p>
            <w:r/>
            <w:r>
              <w:rPr>
                <w:rFonts w:ascii="Aptos" w:hAnsi="Aptos"/>
                <w:b w:val="0"/>
                <w:sz w:val="16"/>
              </w:rPr>
              <w:t>Evaluated factual claims supported by approved evidence</w:t>
            </w:r>
          </w:p>
        </w:tc>
        <w:tc>
          <w:tcPr>
            <w:tcW w:type="dxa" w:w="3456"/>
            <w:vAlign w:val="center"/>
            <w:shd w:fill="F4F7FA"/>
          </w:tcPr>
          <w:p>
            <w:r/>
            <w:r>
              <w:rPr>
                <w:rFonts w:ascii="Aptos" w:hAnsi="Aptos"/>
                <w:b w:val="0"/>
                <w:sz w:val="16"/>
              </w:rPr>
              <w:t>98%</w:t>
            </w:r>
          </w:p>
        </w:tc>
      </w:tr>
      <w:tr>
        <w:tc>
          <w:tcPr>
            <w:tcW w:type="dxa" w:w="3456"/>
            <w:vAlign w:val="center"/>
          </w:tcPr>
          <w:p>
            <w:r/>
            <w:r>
              <w:rPr>
                <w:rFonts w:ascii="Aptos" w:hAnsi="Aptos"/>
                <w:b w:val="0"/>
                <w:sz w:val="16"/>
              </w:rPr>
              <w:t>Safety</w:t>
            </w:r>
          </w:p>
        </w:tc>
        <w:tc>
          <w:tcPr>
            <w:tcW w:type="dxa" w:w="3456"/>
            <w:vAlign w:val="center"/>
          </w:tcPr>
          <w:p>
            <w:r/>
            <w:r>
              <w:rPr>
                <w:rFonts w:ascii="Aptos" w:hAnsi="Aptos"/>
                <w:b w:val="0"/>
                <w:sz w:val="16"/>
              </w:rPr>
              <w:t>No defined critical safety failure</w:t>
            </w:r>
          </w:p>
        </w:tc>
        <w:tc>
          <w:tcPr>
            <w:tcW w:type="dxa" w:w="3456"/>
            <w:vAlign w:val="center"/>
          </w:tcPr>
          <w:p>
            <w:r/>
            <w:r>
              <w:rPr>
                <w:rFonts w:ascii="Aptos" w:hAnsi="Aptos"/>
                <w:b w:val="0"/>
                <w:sz w:val="16"/>
              </w:rPr>
              <w:t>99.99%</w:t>
            </w:r>
          </w:p>
        </w:tc>
      </w:tr>
      <w:tr>
        <w:tc>
          <w:tcPr>
            <w:tcW w:type="dxa" w:w="3456"/>
            <w:vAlign w:val="center"/>
            <w:shd w:fill="F4F7FA"/>
          </w:tcPr>
          <w:p>
            <w:r/>
            <w:r>
              <w:rPr>
                <w:rFonts w:ascii="Aptos" w:hAnsi="Aptos"/>
                <w:b w:val="0"/>
                <w:sz w:val="16"/>
              </w:rPr>
              <w:t>Efficiency</w:t>
            </w:r>
          </w:p>
        </w:tc>
        <w:tc>
          <w:tcPr>
            <w:tcW w:type="dxa" w:w="3456"/>
            <w:vAlign w:val="center"/>
            <w:shd w:fill="F4F7FA"/>
          </w:tcPr>
          <w:p>
            <w:r/>
            <w:r>
              <w:rPr>
                <w:rFonts w:ascii="Aptos" w:hAnsi="Aptos"/>
                <w:b w:val="0"/>
                <w:sz w:val="16"/>
              </w:rPr>
              <w:t>Successful outcome stays within intent execution envelope</w:t>
            </w:r>
          </w:p>
        </w:tc>
        <w:tc>
          <w:tcPr>
            <w:tcW w:type="dxa" w:w="3456"/>
            <w:vAlign w:val="center"/>
            <w:shd w:fill="F4F7FA"/>
          </w:tcPr>
          <w:p>
            <w:r/>
            <w:r>
              <w:rPr>
                <w:rFonts w:ascii="Aptos" w:hAnsi="Aptos"/>
                <w:b w:val="0"/>
                <w:sz w:val="16"/>
              </w:rPr>
              <w:t>95%</w:t>
            </w:r>
          </w:p>
        </w:tc>
      </w:tr>
    </w:tbl>
    <w:p>
      <w:r>
        <w:t>Targets above are examples, not universal standards. Each service/intent owns its targets.</w:t>
      </w:r>
    </w:p>
    <w:p>
      <w:pPr>
        <w:pStyle w:val="Heading1"/>
      </w:pPr>
      <w:r>
        <w:t>10. Prompt Quality Diagnostic Dimension</w:t>
      </w:r>
    </w:p>
    <w:p>
      <w:r>
        <w:t>Prompt Quality is not an outcome SLO in v0.1. It is a leading diagnostic signal used to help developers understand failure risk and improve prompts.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Subscore</w:t>
            </w:r>
          </w:p>
        </w:tc>
        <w:tc>
          <w:tcPr>
            <w:tcW w:type="dxa" w:w="3456"/>
            <w:vAlign w:val="center"/>
            <w:shd w:fill="1F4E78"/>
          </w:tcPr>
          <w:p>
            <w:r/>
            <w:r>
              <w:rPr>
                <w:rFonts w:ascii="Aptos" w:hAnsi="Aptos"/>
                <w:b/>
                <w:color w:val="FFFFFF"/>
                <w:sz w:val="16"/>
              </w:rPr>
              <w:t>Purpose</w:t>
            </w:r>
          </w:p>
        </w:tc>
        <w:tc>
          <w:tcPr>
            <w:tcW w:type="dxa" w:w="3456"/>
            <w:vAlign w:val="center"/>
            <w:shd w:fill="1F4E78"/>
          </w:tcPr>
          <w:p>
            <w:r/>
            <w:r>
              <w:rPr>
                <w:rFonts w:ascii="Aptos" w:hAnsi="Aptos"/>
                <w:b/>
                <w:color w:val="FFFFFF"/>
                <w:sz w:val="16"/>
              </w:rPr>
              <w:t>Suggested weight</w:t>
            </w:r>
          </w:p>
        </w:tc>
      </w:tr>
      <w:tr>
        <w:tc>
          <w:tcPr>
            <w:tcW w:type="dxa" w:w="3456"/>
            <w:vAlign w:val="center"/>
          </w:tcPr>
          <w:p>
            <w:r/>
            <w:r>
              <w:rPr>
                <w:rFonts w:ascii="Aptos" w:hAnsi="Aptos"/>
                <w:b w:val="0"/>
                <w:sz w:val="16"/>
              </w:rPr>
              <w:t>Instruction clarity</w:t>
            </w:r>
          </w:p>
        </w:tc>
        <w:tc>
          <w:tcPr>
            <w:tcW w:type="dxa" w:w="3456"/>
            <w:vAlign w:val="center"/>
          </w:tcPr>
          <w:p>
            <w:r/>
            <w:r>
              <w:rPr>
                <w:rFonts w:ascii="Aptos" w:hAnsi="Aptos"/>
                <w:b w:val="0"/>
                <w:sz w:val="16"/>
              </w:rPr>
              <w:t>Detect vague/ambiguous action</w:t>
            </w:r>
          </w:p>
        </w:tc>
        <w:tc>
          <w:tcPr>
            <w:tcW w:type="dxa" w:w="3456"/>
            <w:vAlign w:val="center"/>
          </w:tcPr>
          <w:p>
            <w:r/>
            <w:r>
              <w:rPr>
                <w:rFonts w:ascii="Aptos" w:hAnsi="Aptos"/>
                <w:b w:val="0"/>
                <w:sz w:val="16"/>
              </w:rPr>
              <w:t>15%</w:t>
            </w:r>
          </w:p>
        </w:tc>
      </w:tr>
      <w:tr>
        <w:tc>
          <w:tcPr>
            <w:tcW w:type="dxa" w:w="3456"/>
            <w:vAlign w:val="center"/>
            <w:shd w:fill="F4F7FA"/>
          </w:tcPr>
          <w:p>
            <w:r/>
            <w:r>
              <w:rPr>
                <w:rFonts w:ascii="Aptos" w:hAnsi="Aptos"/>
                <w:b w:val="0"/>
                <w:sz w:val="16"/>
              </w:rPr>
              <w:t>Context sufficiency</w:t>
            </w:r>
          </w:p>
        </w:tc>
        <w:tc>
          <w:tcPr>
            <w:tcW w:type="dxa" w:w="3456"/>
            <w:vAlign w:val="center"/>
            <w:shd w:fill="F4F7FA"/>
          </w:tcPr>
          <w:p>
            <w:r/>
            <w:r>
              <w:rPr>
                <w:rFonts w:ascii="Aptos" w:hAnsi="Aptos"/>
                <w:b w:val="0"/>
                <w:sz w:val="16"/>
              </w:rPr>
              <w:t>Determine whether needed evidence is present</w:t>
            </w:r>
          </w:p>
        </w:tc>
        <w:tc>
          <w:tcPr>
            <w:tcW w:type="dxa" w:w="3456"/>
            <w:vAlign w:val="center"/>
            <w:shd w:fill="F4F7FA"/>
          </w:tcPr>
          <w:p>
            <w:r/>
            <w:r>
              <w:rPr>
                <w:rFonts w:ascii="Aptos" w:hAnsi="Aptos"/>
                <w:b w:val="0"/>
                <w:sz w:val="16"/>
              </w:rPr>
              <w:t>20%</w:t>
            </w:r>
          </w:p>
        </w:tc>
      </w:tr>
      <w:tr>
        <w:tc>
          <w:tcPr>
            <w:tcW w:type="dxa" w:w="3456"/>
            <w:vAlign w:val="center"/>
          </w:tcPr>
          <w:p>
            <w:r/>
            <w:r>
              <w:rPr>
                <w:rFonts w:ascii="Aptos" w:hAnsi="Aptos"/>
                <w:b w:val="0"/>
                <w:sz w:val="16"/>
              </w:rPr>
              <w:t>Grounding constraints</w:t>
            </w:r>
          </w:p>
        </w:tc>
        <w:tc>
          <w:tcPr>
            <w:tcW w:type="dxa" w:w="3456"/>
            <w:vAlign w:val="center"/>
          </w:tcPr>
          <w:p>
            <w:r/>
            <w:r>
              <w:rPr>
                <w:rFonts w:ascii="Aptos" w:hAnsi="Aptos"/>
                <w:b w:val="0"/>
                <w:sz w:val="16"/>
              </w:rPr>
              <w:t>Require use of allowed evidence/sources</w:t>
            </w:r>
          </w:p>
        </w:tc>
        <w:tc>
          <w:tcPr>
            <w:tcW w:type="dxa" w:w="3456"/>
            <w:vAlign w:val="center"/>
          </w:tcPr>
          <w:p>
            <w:r/>
            <w:r>
              <w:rPr>
                <w:rFonts w:ascii="Aptos" w:hAnsi="Aptos"/>
                <w:b w:val="0"/>
                <w:sz w:val="16"/>
              </w:rPr>
              <w:t>15%</w:t>
            </w:r>
          </w:p>
        </w:tc>
      </w:tr>
      <w:tr>
        <w:tc>
          <w:tcPr>
            <w:tcW w:type="dxa" w:w="3456"/>
            <w:vAlign w:val="center"/>
            <w:shd w:fill="F4F7FA"/>
          </w:tcPr>
          <w:p>
            <w:r/>
            <w:r>
              <w:rPr>
                <w:rFonts w:ascii="Aptos" w:hAnsi="Aptos"/>
                <w:b w:val="0"/>
                <w:sz w:val="16"/>
              </w:rPr>
              <w:t>Uncertainty handling</w:t>
            </w:r>
          </w:p>
        </w:tc>
        <w:tc>
          <w:tcPr>
            <w:tcW w:type="dxa" w:w="3456"/>
            <w:vAlign w:val="center"/>
            <w:shd w:fill="F4F7FA"/>
          </w:tcPr>
          <w:p>
            <w:r/>
            <w:r>
              <w:rPr>
                <w:rFonts w:ascii="Aptos" w:hAnsi="Aptos"/>
                <w:b w:val="0"/>
                <w:sz w:val="16"/>
              </w:rPr>
              <w:t>Permit/require abstention when evidence is insufficient</w:t>
            </w:r>
          </w:p>
        </w:tc>
        <w:tc>
          <w:tcPr>
            <w:tcW w:type="dxa" w:w="3456"/>
            <w:vAlign w:val="center"/>
            <w:shd w:fill="F4F7FA"/>
          </w:tcPr>
          <w:p>
            <w:r/>
            <w:r>
              <w:rPr>
                <w:rFonts w:ascii="Aptos" w:hAnsi="Aptos"/>
                <w:b w:val="0"/>
                <w:sz w:val="16"/>
              </w:rPr>
              <w:t>10%</w:t>
            </w:r>
          </w:p>
        </w:tc>
      </w:tr>
      <w:tr>
        <w:tc>
          <w:tcPr>
            <w:tcW w:type="dxa" w:w="3456"/>
            <w:vAlign w:val="center"/>
          </w:tcPr>
          <w:p>
            <w:r/>
            <w:r>
              <w:rPr>
                <w:rFonts w:ascii="Aptos" w:hAnsi="Aptos"/>
                <w:b w:val="0"/>
                <w:sz w:val="16"/>
              </w:rPr>
              <w:t>Output contract</w:t>
            </w:r>
          </w:p>
        </w:tc>
        <w:tc>
          <w:tcPr>
            <w:tcW w:type="dxa" w:w="3456"/>
            <w:vAlign w:val="center"/>
          </w:tcPr>
          <w:p>
            <w:r/>
            <w:r>
              <w:rPr>
                <w:rFonts w:ascii="Aptos" w:hAnsi="Aptos"/>
                <w:b w:val="0"/>
                <w:sz w:val="16"/>
              </w:rPr>
              <w:t>Schema, format, length, citation expectations</w:t>
            </w:r>
          </w:p>
        </w:tc>
        <w:tc>
          <w:tcPr>
            <w:tcW w:type="dxa" w:w="3456"/>
            <w:vAlign w:val="center"/>
          </w:tcPr>
          <w:p>
            <w:r/>
            <w:r>
              <w:rPr>
                <w:rFonts w:ascii="Aptos" w:hAnsi="Aptos"/>
                <w:b w:val="0"/>
                <w:sz w:val="16"/>
              </w:rPr>
              <w:t>10%</w:t>
            </w:r>
          </w:p>
        </w:tc>
      </w:tr>
      <w:tr>
        <w:tc>
          <w:tcPr>
            <w:tcW w:type="dxa" w:w="3456"/>
            <w:vAlign w:val="center"/>
            <w:shd w:fill="F4F7FA"/>
          </w:tcPr>
          <w:p>
            <w:r/>
            <w:r>
              <w:rPr>
                <w:rFonts w:ascii="Aptos" w:hAnsi="Aptos"/>
                <w:b w:val="0"/>
                <w:sz w:val="16"/>
              </w:rPr>
              <w:t>Tool/retrieval guidance</w:t>
            </w:r>
          </w:p>
        </w:tc>
        <w:tc>
          <w:tcPr>
            <w:tcW w:type="dxa" w:w="3456"/>
            <w:vAlign w:val="center"/>
            <w:shd w:fill="F4F7FA"/>
          </w:tcPr>
          <w:p>
            <w:r/>
            <w:r>
              <w:rPr>
                <w:rFonts w:ascii="Aptos" w:hAnsi="Aptos"/>
                <w:b w:val="0"/>
                <w:sz w:val="16"/>
              </w:rPr>
              <w:t>When and how external tools should be used</w:t>
            </w:r>
          </w:p>
        </w:tc>
        <w:tc>
          <w:tcPr>
            <w:tcW w:type="dxa" w:w="3456"/>
            <w:vAlign w:val="center"/>
            <w:shd w:fill="F4F7FA"/>
          </w:tcPr>
          <w:p>
            <w:r/>
            <w:r>
              <w:rPr>
                <w:rFonts w:ascii="Aptos" w:hAnsi="Aptos"/>
                <w:b w:val="0"/>
                <w:sz w:val="16"/>
              </w:rPr>
              <w:t>10%</w:t>
            </w:r>
          </w:p>
        </w:tc>
      </w:tr>
      <w:tr>
        <w:tc>
          <w:tcPr>
            <w:tcW w:type="dxa" w:w="3456"/>
            <w:vAlign w:val="center"/>
          </w:tcPr>
          <w:p>
            <w:r/>
            <w:r>
              <w:rPr>
                <w:rFonts w:ascii="Aptos" w:hAnsi="Aptos"/>
                <w:b w:val="0"/>
                <w:sz w:val="16"/>
              </w:rPr>
              <w:t>Conflict/ambiguity risk</w:t>
            </w:r>
          </w:p>
        </w:tc>
        <w:tc>
          <w:tcPr>
            <w:tcW w:type="dxa" w:w="3456"/>
            <w:vAlign w:val="center"/>
          </w:tcPr>
          <w:p>
            <w:r/>
            <w:r>
              <w:rPr>
                <w:rFonts w:ascii="Aptos" w:hAnsi="Aptos"/>
                <w:b w:val="0"/>
                <w:sz w:val="16"/>
              </w:rPr>
              <w:t>Contradictory instructions or competing sources</w:t>
            </w:r>
          </w:p>
        </w:tc>
        <w:tc>
          <w:tcPr>
            <w:tcW w:type="dxa" w:w="3456"/>
            <w:vAlign w:val="center"/>
          </w:tcPr>
          <w:p>
            <w:r/>
            <w:r>
              <w:rPr>
                <w:rFonts w:ascii="Aptos" w:hAnsi="Aptos"/>
                <w:b w:val="0"/>
                <w:sz w:val="16"/>
              </w:rPr>
              <w:t>10%</w:t>
            </w:r>
          </w:p>
        </w:tc>
      </w:tr>
      <w:tr>
        <w:tc>
          <w:tcPr>
            <w:tcW w:type="dxa" w:w="3456"/>
            <w:vAlign w:val="center"/>
            <w:shd w:fill="F4F7FA"/>
          </w:tcPr>
          <w:p>
            <w:r/>
            <w:r>
              <w:rPr>
                <w:rFonts w:ascii="Aptos" w:hAnsi="Aptos"/>
                <w:b w:val="0"/>
                <w:sz w:val="16"/>
              </w:rPr>
              <w:t>Context efficiency</w:t>
            </w:r>
          </w:p>
        </w:tc>
        <w:tc>
          <w:tcPr>
            <w:tcW w:type="dxa" w:w="3456"/>
            <w:vAlign w:val="center"/>
            <w:shd w:fill="F4F7FA"/>
          </w:tcPr>
          <w:p>
            <w:r/>
            <w:r>
              <w:rPr>
                <w:rFonts w:ascii="Aptos" w:hAnsi="Aptos"/>
                <w:b w:val="0"/>
                <w:sz w:val="16"/>
              </w:rPr>
              <w:t>Redundant/irrelevant/excessive prompt context</w:t>
            </w:r>
          </w:p>
        </w:tc>
        <w:tc>
          <w:tcPr>
            <w:tcW w:type="dxa" w:w="3456"/>
            <w:vAlign w:val="center"/>
            <w:shd w:fill="F4F7FA"/>
          </w:tcPr>
          <w:p>
            <w:r/>
            <w:r>
              <w:rPr>
                <w:rFonts w:ascii="Aptos" w:hAnsi="Aptos"/>
                <w:b w:val="0"/>
                <w:sz w:val="16"/>
              </w:rPr>
              <w:t>10%</w:t>
            </w:r>
          </w:p>
        </w:tc>
      </w:tr>
    </w:tbl>
    <w:p>
      <w:pPr>
        <w:pStyle w:val="Heading2"/>
      </w:pPr>
      <w:r>
        <w:t>10.1 Scoring rules</w:t>
      </w:r>
    </w:p>
    <w:p>
      <w:pPr>
        <w:pStyle w:val="ListBullet"/>
        <w:spacing w:after="40"/>
      </w:pPr>
      <w:r>
        <w:t>Every score must expose component scores and reasons; never show only an opaque 0-100 number.</w:t>
      </w:r>
    </w:p>
    <w:p>
      <w:pPr>
        <w:pStyle w:val="ListBullet"/>
        <w:spacing w:after="40"/>
      </w:pPr>
      <w:r>
        <w:t>Deterministic checks run first.</w:t>
      </w:r>
    </w:p>
    <w:p>
      <w:pPr>
        <w:pStyle w:val="ListBullet"/>
        <w:spacing w:after="40"/>
      </w:pPr>
      <w:r>
        <w:t>Optional evaluator-model checks must record evaluator provider/model/version and rubric version.</w:t>
      </w:r>
    </w:p>
    <w:p>
      <w:pPr>
        <w:pStyle w:val="ListBullet"/>
        <w:spacing w:after="40"/>
      </w:pPr>
      <w:r>
        <w:t>Score confidence must be recorded.</w:t>
      </w:r>
    </w:p>
    <w:p>
      <w:pPr>
        <w:pStyle w:val="ListBullet"/>
        <w:spacing w:after="40"/>
      </w:pPr>
      <w:r>
        <w:t>Prompt quality must never be presented as proof that a hallucination was caused by the prompt.</w:t>
      </w:r>
    </w:p>
    <w:p>
      <w:pPr>
        <w:pStyle w:val="ListBullet"/>
        <w:spacing w:after="40"/>
      </w:pPr>
      <w:r>
        <w:t>Historical correlation between prompt version and outcome metrics may be shown as correlation, not causation.</w:t>
      </w:r>
    </w:p>
    <w:p>
      <w:pPr>
        <w:pStyle w:val="Heading1"/>
      </w:pPr>
      <w:r>
        <w:t>11. Hallucination / Grounding Diagnostics</w:t>
      </w:r>
    </w:p>
    <w:p>
      <w:r>
        <w:t>The product should avoid a single magical 'hallucination detector.' Instead, it should gather evidence and classify likely contributors.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rFonts w:ascii="Aptos" w:hAnsi="Aptos"/>
                <w:b/>
                <w:color w:val="FFFFFF"/>
                <w:sz w:val="16"/>
              </w:rPr>
              <w:t>Contributor class</w:t>
            </w:r>
          </w:p>
        </w:tc>
        <w:tc>
          <w:tcPr>
            <w:tcW w:type="dxa" w:w="5184"/>
            <w:vAlign w:val="center"/>
            <w:shd w:fill="1F4E78"/>
          </w:tcPr>
          <w:p>
            <w:r/>
            <w:r>
              <w:rPr>
                <w:rFonts w:ascii="Aptos" w:hAnsi="Aptos"/>
                <w:b/>
                <w:color w:val="FFFFFF"/>
                <w:sz w:val="16"/>
              </w:rPr>
              <w:t>Signals</w:t>
            </w:r>
          </w:p>
        </w:tc>
      </w:tr>
      <w:tr>
        <w:tc>
          <w:tcPr>
            <w:tcW w:type="dxa" w:w="5184"/>
            <w:vAlign w:val="center"/>
          </w:tcPr>
          <w:p>
            <w:r/>
            <w:r>
              <w:rPr>
                <w:rFonts w:ascii="Aptos" w:hAnsi="Aptos"/>
                <w:b w:val="0"/>
                <w:sz w:val="16"/>
              </w:rPr>
              <w:t>Prompt</w:t>
            </w:r>
          </w:p>
        </w:tc>
        <w:tc>
          <w:tcPr>
            <w:tcW w:type="dxa" w:w="5184"/>
            <w:vAlign w:val="center"/>
          </w:tcPr>
          <w:p>
            <w:r/>
            <w:r>
              <w:rPr>
                <w:rFonts w:ascii="Aptos" w:hAnsi="Aptos"/>
                <w:b w:val="0"/>
                <w:sz w:val="16"/>
              </w:rPr>
              <w:t>Forced certainty, ambiguous instruction, missing grounding rule, missing abstention rule</w:t>
            </w:r>
          </w:p>
        </w:tc>
      </w:tr>
      <w:tr>
        <w:tc>
          <w:tcPr>
            <w:tcW w:type="dxa" w:w="5184"/>
            <w:vAlign w:val="center"/>
            <w:shd w:fill="F4F7FA"/>
          </w:tcPr>
          <w:p>
            <w:r/>
            <w:r>
              <w:rPr>
                <w:rFonts w:ascii="Aptos" w:hAnsi="Aptos"/>
                <w:b w:val="0"/>
                <w:sz w:val="16"/>
              </w:rPr>
              <w:t>Context</w:t>
            </w:r>
          </w:p>
        </w:tc>
        <w:tc>
          <w:tcPr>
            <w:tcW w:type="dxa" w:w="5184"/>
            <w:vAlign w:val="center"/>
            <w:shd w:fill="F4F7FA"/>
          </w:tcPr>
          <w:p>
            <w:r/>
            <w:r>
              <w:rPr>
                <w:rFonts w:ascii="Aptos" w:hAnsi="Aptos"/>
                <w:b w:val="0"/>
                <w:sz w:val="16"/>
              </w:rPr>
              <w:t>Missing, stale, conflicting, irrelevant, excessive evidence</w:t>
            </w:r>
          </w:p>
        </w:tc>
      </w:tr>
      <w:tr>
        <w:tc>
          <w:tcPr>
            <w:tcW w:type="dxa" w:w="5184"/>
            <w:vAlign w:val="center"/>
          </w:tcPr>
          <w:p>
            <w:r/>
            <w:r>
              <w:rPr>
                <w:rFonts w:ascii="Aptos" w:hAnsi="Aptos"/>
                <w:b w:val="0"/>
                <w:sz w:val="16"/>
              </w:rPr>
              <w:t>Retrieval</w:t>
            </w:r>
          </w:p>
        </w:tc>
        <w:tc>
          <w:tcPr>
            <w:tcW w:type="dxa" w:w="5184"/>
            <w:vAlign w:val="center"/>
          </w:tcPr>
          <w:p>
            <w:r/>
            <w:r>
              <w:rPr>
                <w:rFonts w:ascii="Aptos" w:hAnsi="Aptos"/>
                <w:b w:val="0"/>
                <w:sz w:val="16"/>
              </w:rPr>
              <w:t>No retrieval, poor retrieval score, wrong source, empty retrieval</w:t>
            </w:r>
          </w:p>
        </w:tc>
      </w:tr>
      <w:tr>
        <w:tc>
          <w:tcPr>
            <w:tcW w:type="dxa" w:w="5184"/>
            <w:vAlign w:val="center"/>
            <w:shd w:fill="F4F7FA"/>
          </w:tcPr>
          <w:p>
            <w:r/>
            <w:r>
              <w:rPr>
                <w:rFonts w:ascii="Aptos" w:hAnsi="Aptos"/>
                <w:b w:val="0"/>
                <w:sz w:val="16"/>
              </w:rPr>
              <w:t>Tooling</w:t>
            </w:r>
          </w:p>
        </w:tc>
        <w:tc>
          <w:tcPr>
            <w:tcW w:type="dxa" w:w="5184"/>
            <w:vAlign w:val="center"/>
            <w:shd w:fill="F4F7FA"/>
          </w:tcPr>
          <w:p>
            <w:r/>
            <w:r>
              <w:rPr>
                <w:rFonts w:ascii="Aptos" w:hAnsi="Aptos"/>
                <w:b w:val="0"/>
                <w:sz w:val="16"/>
              </w:rPr>
              <w:t>Tool error, malformed result, duplicate/stale call</w:t>
            </w:r>
          </w:p>
        </w:tc>
      </w:tr>
      <w:tr>
        <w:tc>
          <w:tcPr>
            <w:tcW w:type="dxa" w:w="5184"/>
            <w:vAlign w:val="center"/>
          </w:tcPr>
          <w:p>
            <w:r/>
            <w:r>
              <w:rPr>
                <w:rFonts w:ascii="Aptos" w:hAnsi="Aptos"/>
                <w:b w:val="0"/>
                <w:sz w:val="16"/>
              </w:rPr>
              <w:t>Model</w:t>
            </w:r>
          </w:p>
        </w:tc>
        <w:tc>
          <w:tcPr>
            <w:tcW w:type="dxa" w:w="5184"/>
            <w:vAlign w:val="center"/>
          </w:tcPr>
          <w:p>
            <w:r/>
            <w:r>
              <w:rPr>
                <w:rFonts w:ascii="Aptos" w:hAnsi="Aptos"/>
                <w:b w:val="0"/>
                <w:sz w:val="16"/>
              </w:rPr>
              <w:t>Unsupported claim despite adequate context, capability mismatch, output inconsistency</w:t>
            </w:r>
          </w:p>
        </w:tc>
      </w:tr>
    </w:tbl>
    <w:p>
      <w:pPr>
        <w:pStyle w:val="Heading2"/>
      </w:pPr>
      <w:r>
        <w:t>11.1 Diagnostic output</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5"/>
              </w:rPr>
              <w:t>Grounding status: FAIL</w:t>
              <w:br/>
              <w:t>Unsupported claims: 3</w:t>
              <w:br/>
              <w:t>Evidence coverage: 72%</w:t>
              <w:br/>
              <w:t>Likely contributors:</w:t>
              <w:br/>
              <w:t xml:space="preserve">  - Missing authoritative context: HIGH</w:t>
              <w:br/>
              <w:t xml:space="preserve">  - Forced-certainty prompt language: MEDIUM</w:t>
              <w:br/>
              <w:t xml:space="preserve">  - Retrieval failure: LOW</w:t>
              <w:br/>
              <w:t>Recommended actions:</w:t>
              <w:br/>
              <w:t xml:space="preserve">  1. Retrieve approved current source.</w:t>
              <w:br/>
              <w:t xml:space="preserve">  2. Add abstention rule when evidence is insufficient.</w:t>
              <w:br/>
              <w:t xml:space="preserve">  3. Require claim-level citation for factual assertions.</w:t>
              <w:br/>
              <w:t xml:space="preserve">  4. Re-run regression dataset before deployment.</w:t>
            </w:r>
          </w:p>
        </w:tc>
      </w:tr>
    </w:tbl>
    <w:p>
      <w:r>
        <w:t>The UI must say 'likely contributor' unless the system has direct evidence establishing a causal mechanism.</w:t>
      </w:r>
    </w:p>
    <w:p>
      <w:pPr>
        <w:pStyle w:val="Heading1"/>
      </w:pPr>
      <w:r>
        <w:t>12. Outcome-Normalized Efficiency</w:t>
      </w:r>
    </w:p>
    <w:p>
      <w:r>
        <w:t>Efficiency is evaluated per successful user outcome, not per isolated API call. This is the principal developer-oriented differentiator.</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5"/>
              </w:rPr>
              <w:t>intent: shipment_status</w:t>
              <w:br/>
              <w:t>expected:</w:t>
              <w:br/>
              <w:t xml:space="preserve">  model_calls &lt;= 2</w:t>
              <w:br/>
              <w:t xml:space="preserve">  tool_calls &lt;= 2</w:t>
              <w:br/>
              <w:t xml:space="preserve">  retries &lt;= 1</w:t>
              <w:br/>
              <w:t xml:space="preserve">  input_tokens &lt;= 3000</w:t>
              <w:br/>
              <w:t xml:space="preserve">  output_tokens &lt;= 200</w:t>
              <w:br/>
              <w:t xml:space="preserve">  latency_ms &lt;= 3000</w:t>
              <w:br/>
              <w:t xml:space="preserve">  cost_per_successful_outcome &lt;= 0.02</w:t>
            </w:r>
          </w:p>
        </w:tc>
      </w:tr>
    </w:tbl>
    <w:p>
      <w:pPr>
        <w:pStyle w:val="Heading2"/>
      </w:pPr>
      <w:r>
        <w:t>12.1 v0.1 efficiency diagnostics</w:t>
      </w:r>
    </w:p>
    <w:p>
      <w:pPr>
        <w:pStyle w:val="ListBullet"/>
        <w:spacing w:after="40"/>
      </w:pPr>
      <w:r>
        <w:t>Excess model calls</w:t>
      </w:r>
    </w:p>
    <w:p>
      <w:pPr>
        <w:pStyle w:val="ListBullet"/>
        <w:spacing w:after="40"/>
      </w:pPr>
      <w:r>
        <w:t>Duplicate tool calls</w:t>
      </w:r>
    </w:p>
    <w:p>
      <w:pPr>
        <w:pStyle w:val="ListBullet"/>
        <w:spacing w:after="40"/>
      </w:pPr>
      <w:r>
        <w:t>Retries above envelope</w:t>
      </w:r>
    </w:p>
    <w:p>
      <w:pPr>
        <w:pStyle w:val="ListBullet"/>
        <w:spacing w:after="40"/>
      </w:pPr>
      <w:r>
        <w:t>Input/output token envelope breach</w:t>
      </w:r>
    </w:p>
    <w:p>
      <w:pPr>
        <w:pStyle w:val="ListBullet"/>
        <w:spacing w:after="40"/>
      </w:pPr>
      <w:r>
        <w:t>Excess response length</w:t>
      </w:r>
    </w:p>
    <w:p>
      <w:pPr>
        <w:pStyle w:val="ListBullet"/>
        <w:spacing w:after="40"/>
      </w:pPr>
      <w:r>
        <w:t>Latency envelope breach</w:t>
      </w:r>
    </w:p>
    <w:p>
      <w:pPr>
        <w:pStyle w:val="ListBullet"/>
        <w:spacing w:after="40"/>
      </w:pPr>
      <w:r>
        <w:t>Cost envelope breach</w:t>
      </w:r>
    </w:p>
    <w:p>
      <w:pPr>
        <w:pStyle w:val="ListBullet"/>
        <w:spacing w:after="40"/>
      </w:pPr>
      <w:r>
        <w:t>Repeated context when reliably measurable</w:t>
      </w:r>
    </w:p>
    <w:p>
      <w:pPr>
        <w:pStyle w:val="Heading1"/>
      </w:pPr>
      <w:r>
        <w:t>13. SLO, Error Budget and Burn Rate</w:t>
      </w:r>
    </w:p>
    <w:p>
      <w:r>
        <w:t>Each outcome dimension maintains its own SLO and error budget. Do not average the six dimensions into a single operational SLO.</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5"/>
              </w:rPr>
              <w:t>good_events = eligible_events - bad_events</w:t>
              <w:br/>
              <w:t>SLI = good_events / eligible_events</w:t>
              <w:br/>
              <w:t>error_budget_fraction = 1 - target</w:t>
              <w:br/>
              <w:t>allowed_bad_events = eligible_events * error_budget_fraction</w:t>
              <w:br/>
              <w:t>budget_consumed = observed_bad_events / allowed_bad_events</w:t>
              <w:br/>
              <w:t>burn_rate = observed_bad_rate / allowed_bad_rate</w:t>
            </w:r>
          </w:p>
        </w:tc>
      </w:tr>
    </w:tbl>
    <w:p>
      <w:pPr>
        <w:pStyle w:val="Heading2"/>
      </w:pPr>
      <w:r>
        <w:t>13.1 v0.1 windows</w:t>
      </w:r>
    </w:p>
    <w:p>
      <w:pPr>
        <w:pStyle w:val="ListBullet"/>
        <w:spacing w:after="40"/>
      </w:pPr>
      <w:r>
        <w:t>Current / 1 hour</w:t>
      </w:r>
    </w:p>
    <w:p>
      <w:pPr>
        <w:pStyle w:val="ListBullet"/>
        <w:spacing w:after="40"/>
      </w:pPr>
      <w:r>
        <w:t>6 hours</w:t>
      </w:r>
    </w:p>
    <w:p>
      <w:pPr>
        <w:pStyle w:val="ListBullet"/>
        <w:spacing w:after="40"/>
      </w:pPr>
      <w:r>
        <w:t>24 hours</w:t>
      </w:r>
    </w:p>
    <w:p>
      <w:pPr>
        <w:pStyle w:val="ListBullet"/>
        <w:spacing w:after="40"/>
      </w:pPr>
      <w:r>
        <w:t>7 days</w:t>
      </w:r>
    </w:p>
    <w:p>
      <w:pPr>
        <w:pStyle w:val="ListBullet"/>
        <w:spacing w:after="40"/>
      </w:pPr>
      <w:r>
        <w:t>30 days</w:t>
      </w:r>
    </w:p>
    <w:p>
      <w:r>
        <w:t>v0.1 may implement simple burn-rate visualization. Multi-window paging policies can be added after the public MVP.</w:t>
      </w:r>
    </w:p>
    <w:p>
      <w:pPr>
        <w:pStyle w:val="Heading1"/>
      </w:pPr>
      <w:r>
        <w:t>14. Developer Dashboard Specification</w:t>
      </w:r>
    </w:p>
    <w:p>
      <w:pPr>
        <w:pStyle w:val="Heading2"/>
      </w:pPr>
      <w:r>
        <w:t>14.1 Home / Service Reliability</w:t>
      </w:r>
    </w:p>
    <w:p>
      <w:pPr>
        <w:pStyle w:val="ListBullet"/>
        <w:spacing w:after="40"/>
      </w:pPr>
      <w:r>
        <w:t>Six SLO cards with current value, target, budget remaining, trend.</w:t>
      </w:r>
    </w:p>
    <w:p>
      <w:pPr>
        <w:pStyle w:val="ListBullet"/>
        <w:spacing w:after="40"/>
      </w:pPr>
      <w:r>
        <w:t>Prompt Quality diagnostic card shown separately from outcome SLOs.</w:t>
      </w:r>
    </w:p>
    <w:p>
      <w:pPr>
        <w:pStyle w:val="ListBullet"/>
        <w:spacing w:after="40"/>
      </w:pPr>
      <w:r>
        <w:t>Requests, estimated cost, model calls/outcome, tokens/outcome.</w:t>
      </w:r>
    </w:p>
    <w:p>
      <w:pPr>
        <w:pStyle w:val="ListBullet"/>
        <w:spacing w:after="40"/>
      </w:pPr>
      <w:r>
        <w:t>Top failing intents.</w:t>
      </w:r>
    </w:p>
    <w:p>
      <w:pPr>
        <w:pStyle w:val="ListBullet"/>
        <w:spacing w:after="40"/>
      </w:pPr>
      <w:r>
        <w:t>Top efficiency waste drivers.</w:t>
      </w:r>
    </w:p>
    <w:p>
      <w:pPr>
        <w:pStyle w:val="ListBullet"/>
        <w:spacing w:after="40"/>
      </w:pPr>
      <w:r>
        <w:t>Recent regressions by prompt/model/application version.</w:t>
      </w:r>
    </w:p>
    <w:p>
      <w:pPr>
        <w:pStyle w:val="Heading2"/>
      </w:pPr>
      <w:r>
        <w:t>14.2 Trace detail</w:t>
      </w:r>
    </w:p>
    <w:p>
      <w:pPr>
        <w:pStyle w:val="ListBullet"/>
        <w:spacing w:after="40"/>
      </w:pPr>
      <w:r>
        <w:t>Timeline of model, tool, retrieval, document and evaluation spans.</w:t>
      </w:r>
    </w:p>
    <w:p>
      <w:pPr>
        <w:pStyle w:val="ListBullet"/>
        <w:spacing w:after="40"/>
      </w:pPr>
      <w:r>
        <w:t>Per-span latency/tokens/cost when available.</w:t>
      </w:r>
    </w:p>
    <w:p>
      <w:pPr>
        <w:pStyle w:val="ListBullet"/>
        <w:spacing w:after="40"/>
      </w:pPr>
      <w:r>
        <w:t>Prompt version and evaluator version.</w:t>
      </w:r>
    </w:p>
    <w:p>
      <w:pPr>
        <w:pStyle w:val="ListBullet"/>
        <w:spacing w:after="40"/>
      </w:pPr>
      <w:r>
        <w:t>Outcome evaluation.</w:t>
      </w:r>
    </w:p>
    <w:p>
      <w:pPr>
        <w:pStyle w:val="ListBullet"/>
        <w:spacing w:after="40"/>
      </w:pPr>
      <w:r>
        <w:t>Efficiency-envelope comparison.</w:t>
      </w:r>
    </w:p>
    <w:p>
      <w:pPr>
        <w:pStyle w:val="ListBullet"/>
        <w:spacing w:after="40"/>
      </w:pPr>
      <w:r>
        <w:t>Likely failure contributors and recommended actions.</w:t>
      </w:r>
    </w:p>
    <w:p>
      <w:pPr>
        <w:pStyle w:val="Heading2"/>
      </w:pPr>
      <w:r>
        <w:t>14.3 Prompt Quality</w:t>
      </w:r>
    </w:p>
    <w:p>
      <w:pPr>
        <w:pStyle w:val="ListBullet"/>
        <w:spacing w:after="40"/>
      </w:pPr>
      <w:r>
        <w:t>Overall diagnostic score plus eight component scores.</w:t>
      </w:r>
    </w:p>
    <w:p>
      <w:pPr>
        <w:pStyle w:val="ListBullet"/>
        <w:spacing w:after="40"/>
      </w:pPr>
      <w:r>
        <w:t>Version comparison.</w:t>
      </w:r>
    </w:p>
    <w:p>
      <w:pPr>
        <w:pStyle w:val="ListBullet"/>
        <w:spacing w:after="40"/>
      </w:pPr>
      <w:r>
        <w:t>Observed grounding/quality/efficiency outcomes by version.</w:t>
      </w:r>
    </w:p>
    <w:p>
      <w:pPr>
        <w:pStyle w:val="ListBullet"/>
        <w:spacing w:after="40"/>
      </w:pPr>
      <w:r>
        <w:t>Actionable recommendations.</w:t>
      </w:r>
    </w:p>
    <w:p>
      <w:pPr>
        <w:pStyle w:val="ListBullet"/>
        <w:spacing w:after="40"/>
      </w:pPr>
      <w:r>
        <w:t>Regression test results.</w:t>
      </w:r>
    </w:p>
    <w:p>
      <w:pPr>
        <w:pStyle w:val="Heading1"/>
      </w:pPr>
      <w:r>
        <w:t>15. API Specification - MVP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Method</w:t>
            </w:r>
          </w:p>
        </w:tc>
        <w:tc>
          <w:tcPr>
            <w:tcW w:type="dxa" w:w="3456"/>
            <w:vAlign w:val="center"/>
            <w:shd w:fill="1F4E78"/>
          </w:tcPr>
          <w:p>
            <w:r/>
            <w:r>
              <w:rPr>
                <w:rFonts w:ascii="Aptos" w:hAnsi="Aptos"/>
                <w:b/>
                <w:color w:val="FFFFFF"/>
                <w:sz w:val="16"/>
              </w:rPr>
              <w:t>Endpoint</w:t>
            </w:r>
          </w:p>
        </w:tc>
        <w:tc>
          <w:tcPr>
            <w:tcW w:type="dxa" w:w="3456"/>
            <w:vAlign w:val="center"/>
            <w:shd w:fill="1F4E78"/>
          </w:tcPr>
          <w:p>
            <w:r/>
            <w:r>
              <w:rPr>
                <w:rFonts w:ascii="Aptos" w:hAnsi="Aptos"/>
                <w:b/>
                <w:color w:val="FFFFFF"/>
                <w:sz w:val="16"/>
              </w:rPr>
              <w:t>Purpose</w:t>
            </w:r>
          </w:p>
        </w:tc>
      </w:tr>
      <w:tr>
        <w:tc>
          <w:tcPr>
            <w:tcW w:type="dxa" w:w="3456"/>
            <w:vAlign w:val="center"/>
          </w:tcPr>
          <w:p>
            <w:r/>
            <w:r>
              <w:rPr>
                <w:rFonts w:ascii="Aptos" w:hAnsi="Aptos"/>
                <w:b w:val="0"/>
                <w:sz w:val="16"/>
              </w:rPr>
              <w:t>POST</w:t>
            </w:r>
          </w:p>
        </w:tc>
        <w:tc>
          <w:tcPr>
            <w:tcW w:type="dxa" w:w="3456"/>
            <w:vAlign w:val="center"/>
          </w:tcPr>
          <w:p>
            <w:r/>
            <w:r>
              <w:rPr>
                <w:rFonts w:ascii="Aptos" w:hAnsi="Aptos"/>
                <w:b w:val="0"/>
                <w:sz w:val="16"/>
              </w:rPr>
              <w:t>/v1/transactions</w:t>
            </w:r>
          </w:p>
        </w:tc>
        <w:tc>
          <w:tcPr>
            <w:tcW w:type="dxa" w:w="3456"/>
            <w:vAlign w:val="center"/>
          </w:tcPr>
          <w:p>
            <w:r/>
            <w:r>
              <w:rPr>
                <w:rFonts w:ascii="Aptos" w:hAnsi="Aptos"/>
                <w:b w:val="0"/>
                <w:sz w:val="16"/>
              </w:rPr>
              <w:t>Ingest normalized transaction summary</w:t>
            </w:r>
          </w:p>
        </w:tc>
      </w:tr>
      <w:tr>
        <w:tc>
          <w:tcPr>
            <w:tcW w:type="dxa" w:w="3456"/>
            <w:vAlign w:val="center"/>
            <w:shd w:fill="F4F7FA"/>
          </w:tcPr>
          <w:p>
            <w:r/>
            <w:r>
              <w:rPr>
                <w:rFonts w:ascii="Aptos" w:hAnsi="Aptos"/>
                <w:b w:val="0"/>
                <w:sz w:val="16"/>
              </w:rPr>
              <w:t>POST</w:t>
            </w:r>
          </w:p>
        </w:tc>
        <w:tc>
          <w:tcPr>
            <w:tcW w:type="dxa" w:w="3456"/>
            <w:vAlign w:val="center"/>
            <w:shd w:fill="F4F7FA"/>
          </w:tcPr>
          <w:p>
            <w:r/>
            <w:r>
              <w:rPr>
                <w:rFonts w:ascii="Aptos" w:hAnsi="Aptos"/>
                <w:b w:val="0"/>
                <w:sz w:val="16"/>
              </w:rPr>
              <w:t>/v1/spans</w:t>
            </w:r>
          </w:p>
        </w:tc>
        <w:tc>
          <w:tcPr>
            <w:tcW w:type="dxa" w:w="3456"/>
            <w:vAlign w:val="center"/>
            <w:shd w:fill="F4F7FA"/>
          </w:tcPr>
          <w:p>
            <w:r/>
            <w:r>
              <w:rPr>
                <w:rFonts w:ascii="Aptos" w:hAnsi="Aptos"/>
                <w:b w:val="0"/>
                <w:sz w:val="16"/>
              </w:rPr>
              <w:t>Ingest normalized span/event batch</w:t>
            </w:r>
          </w:p>
        </w:tc>
      </w:tr>
      <w:tr>
        <w:tc>
          <w:tcPr>
            <w:tcW w:type="dxa" w:w="3456"/>
            <w:vAlign w:val="center"/>
          </w:tcPr>
          <w:p>
            <w:r/>
            <w:r>
              <w:rPr>
                <w:rFonts w:ascii="Aptos" w:hAnsi="Aptos"/>
                <w:b w:val="0"/>
                <w:sz w:val="16"/>
              </w:rPr>
              <w:t>POST</w:t>
            </w:r>
          </w:p>
        </w:tc>
        <w:tc>
          <w:tcPr>
            <w:tcW w:type="dxa" w:w="3456"/>
            <w:vAlign w:val="center"/>
          </w:tcPr>
          <w:p>
            <w:r/>
            <w:r>
              <w:rPr>
                <w:rFonts w:ascii="Aptos" w:hAnsi="Aptos"/>
                <w:b w:val="0"/>
                <w:sz w:val="16"/>
              </w:rPr>
              <w:t>/v1/evaluations</w:t>
            </w:r>
          </w:p>
        </w:tc>
        <w:tc>
          <w:tcPr>
            <w:tcW w:type="dxa" w:w="3456"/>
            <w:vAlign w:val="center"/>
          </w:tcPr>
          <w:p>
            <w:r/>
            <w:r>
              <w:rPr>
                <w:rFonts w:ascii="Aptos" w:hAnsi="Aptos"/>
                <w:b w:val="0"/>
                <w:sz w:val="16"/>
              </w:rPr>
              <w:t>Record quality/grounding/safety/prompt evaluations</w:t>
            </w:r>
          </w:p>
        </w:tc>
      </w:tr>
      <w:tr>
        <w:tc>
          <w:tcPr>
            <w:tcW w:type="dxa" w:w="3456"/>
            <w:vAlign w:val="center"/>
            <w:shd w:fill="F4F7FA"/>
          </w:tcPr>
          <w:p>
            <w:r/>
            <w:r>
              <w:rPr>
                <w:rFonts w:ascii="Aptos" w:hAnsi="Aptos"/>
                <w:b w:val="0"/>
                <w:sz w:val="16"/>
              </w:rPr>
              <w:t>GET</w:t>
            </w:r>
          </w:p>
        </w:tc>
        <w:tc>
          <w:tcPr>
            <w:tcW w:type="dxa" w:w="3456"/>
            <w:vAlign w:val="center"/>
            <w:shd w:fill="F4F7FA"/>
          </w:tcPr>
          <w:p>
            <w:r/>
            <w:r>
              <w:rPr>
                <w:rFonts w:ascii="Aptos" w:hAnsi="Aptos"/>
                <w:b w:val="0"/>
                <w:sz w:val="16"/>
              </w:rPr>
              <w:t>/v1/services/{id}/slos</w:t>
            </w:r>
          </w:p>
        </w:tc>
        <w:tc>
          <w:tcPr>
            <w:tcW w:type="dxa" w:w="3456"/>
            <w:vAlign w:val="center"/>
            <w:shd w:fill="F4F7FA"/>
          </w:tcPr>
          <w:p>
            <w:r/>
            <w:r>
              <w:rPr>
                <w:rFonts w:ascii="Aptos" w:hAnsi="Aptos"/>
                <w:b w:val="0"/>
                <w:sz w:val="16"/>
              </w:rPr>
              <w:t>Current SLO/error-budget state</w:t>
            </w:r>
          </w:p>
        </w:tc>
      </w:tr>
      <w:tr>
        <w:tc>
          <w:tcPr>
            <w:tcW w:type="dxa" w:w="3456"/>
            <w:vAlign w:val="center"/>
          </w:tcPr>
          <w:p>
            <w:r/>
            <w:r>
              <w:rPr>
                <w:rFonts w:ascii="Aptos" w:hAnsi="Aptos"/>
                <w:b w:val="0"/>
                <w:sz w:val="16"/>
              </w:rPr>
              <w:t>GET</w:t>
            </w:r>
          </w:p>
        </w:tc>
        <w:tc>
          <w:tcPr>
            <w:tcW w:type="dxa" w:w="3456"/>
            <w:vAlign w:val="center"/>
          </w:tcPr>
          <w:p>
            <w:r/>
            <w:r>
              <w:rPr>
                <w:rFonts w:ascii="Aptos" w:hAnsi="Aptos"/>
                <w:b w:val="0"/>
                <w:sz w:val="16"/>
              </w:rPr>
              <w:t>/v1/transactions/{id}</w:t>
            </w:r>
          </w:p>
        </w:tc>
        <w:tc>
          <w:tcPr>
            <w:tcW w:type="dxa" w:w="3456"/>
            <w:vAlign w:val="center"/>
          </w:tcPr>
          <w:p>
            <w:r/>
            <w:r>
              <w:rPr>
                <w:rFonts w:ascii="Aptos" w:hAnsi="Aptos"/>
                <w:b w:val="0"/>
                <w:sz w:val="16"/>
              </w:rPr>
              <w:t>Trace/transaction diagnostic view</w:t>
            </w:r>
          </w:p>
        </w:tc>
      </w:tr>
      <w:tr>
        <w:tc>
          <w:tcPr>
            <w:tcW w:type="dxa" w:w="3456"/>
            <w:vAlign w:val="center"/>
            <w:shd w:fill="F4F7FA"/>
          </w:tcPr>
          <w:p>
            <w:r/>
            <w:r>
              <w:rPr>
                <w:rFonts w:ascii="Aptos" w:hAnsi="Aptos"/>
                <w:b w:val="0"/>
                <w:sz w:val="16"/>
              </w:rPr>
              <w:t>POST</w:t>
            </w:r>
          </w:p>
        </w:tc>
        <w:tc>
          <w:tcPr>
            <w:tcW w:type="dxa" w:w="3456"/>
            <w:vAlign w:val="center"/>
            <w:shd w:fill="F4F7FA"/>
          </w:tcPr>
          <w:p>
            <w:r/>
            <w:r>
              <w:rPr>
                <w:rFonts w:ascii="Aptos" w:hAnsi="Aptos"/>
                <w:b w:val="0"/>
                <w:sz w:val="16"/>
              </w:rPr>
              <w:t>/v1/prompts/analyze</w:t>
            </w:r>
          </w:p>
        </w:tc>
        <w:tc>
          <w:tcPr>
            <w:tcW w:type="dxa" w:w="3456"/>
            <w:vAlign w:val="center"/>
            <w:shd w:fill="F4F7FA"/>
          </w:tcPr>
          <w:p>
            <w:r/>
            <w:r>
              <w:rPr>
                <w:rFonts w:ascii="Aptos" w:hAnsi="Aptos"/>
                <w:b w:val="0"/>
                <w:sz w:val="16"/>
              </w:rPr>
              <w:t>Run deterministic + optional model-assisted prompt analysis</w:t>
            </w:r>
          </w:p>
        </w:tc>
      </w:tr>
      <w:tr>
        <w:tc>
          <w:tcPr>
            <w:tcW w:type="dxa" w:w="3456"/>
            <w:vAlign w:val="center"/>
          </w:tcPr>
          <w:p>
            <w:r/>
            <w:r>
              <w:rPr>
                <w:rFonts w:ascii="Aptos" w:hAnsi="Aptos"/>
                <w:b w:val="0"/>
                <w:sz w:val="16"/>
              </w:rPr>
              <w:t>POST</w:t>
            </w:r>
          </w:p>
        </w:tc>
        <w:tc>
          <w:tcPr>
            <w:tcW w:type="dxa" w:w="3456"/>
            <w:vAlign w:val="center"/>
          </w:tcPr>
          <w:p>
            <w:r/>
            <w:r>
              <w:rPr>
                <w:rFonts w:ascii="Aptos" w:hAnsi="Aptos"/>
                <w:b w:val="0"/>
                <w:sz w:val="16"/>
              </w:rPr>
              <w:t>/v1/ci/evaluate</w:t>
            </w:r>
          </w:p>
        </w:tc>
        <w:tc>
          <w:tcPr>
            <w:tcW w:type="dxa" w:w="3456"/>
            <w:vAlign w:val="center"/>
          </w:tcPr>
          <w:p>
            <w:r/>
            <w:r>
              <w:rPr>
                <w:rFonts w:ascii="Aptos" w:hAnsi="Aptos"/>
                <w:b w:val="0"/>
                <w:sz w:val="16"/>
              </w:rPr>
              <w:t>Evaluate regression dataset and return pass/fail gate</w:t>
            </w:r>
          </w:p>
        </w:tc>
      </w:tr>
      <w:tr>
        <w:tc>
          <w:tcPr>
            <w:tcW w:type="dxa" w:w="3456"/>
            <w:vAlign w:val="center"/>
            <w:shd w:fill="F4F7FA"/>
          </w:tcPr>
          <w:p>
            <w:r/>
            <w:r>
              <w:rPr>
                <w:rFonts w:ascii="Aptos" w:hAnsi="Aptos"/>
                <w:b w:val="0"/>
                <w:sz w:val="16"/>
              </w:rPr>
              <w:t>GET</w:t>
            </w:r>
          </w:p>
        </w:tc>
        <w:tc>
          <w:tcPr>
            <w:tcW w:type="dxa" w:w="3456"/>
            <w:vAlign w:val="center"/>
            <w:shd w:fill="F4F7FA"/>
          </w:tcPr>
          <w:p>
            <w:r/>
            <w:r>
              <w:rPr>
                <w:rFonts w:ascii="Aptos" w:hAnsi="Aptos"/>
                <w:b w:val="0"/>
                <w:sz w:val="16"/>
              </w:rPr>
              <w:t>/v1/dashboard/summary</w:t>
            </w:r>
          </w:p>
        </w:tc>
        <w:tc>
          <w:tcPr>
            <w:tcW w:type="dxa" w:w="3456"/>
            <w:vAlign w:val="center"/>
            <w:shd w:fill="F4F7FA"/>
          </w:tcPr>
          <w:p>
            <w:r/>
            <w:r>
              <w:rPr>
                <w:rFonts w:ascii="Aptos" w:hAnsi="Aptos"/>
                <w:b w:val="0"/>
                <w:sz w:val="16"/>
              </w:rPr>
              <w:t>Dashboard aggregate</w:t>
            </w:r>
          </w:p>
        </w:tc>
      </w:tr>
    </w:tbl>
    <w:p>
      <w:pPr>
        <w:pStyle w:val="Heading2"/>
      </w:pPr>
      <w:r>
        <w:t>15.1 Authentication</w:t>
      </w:r>
    </w:p>
    <w:p>
      <w:pPr>
        <w:pStyle w:val="ListBullet"/>
        <w:spacing w:after="40"/>
      </w:pPr>
      <w:r>
        <w:t>MVP: project API key.</w:t>
      </w:r>
    </w:p>
    <w:p>
      <w:pPr>
        <w:pStyle w:val="ListBullet"/>
        <w:spacing w:after="40"/>
      </w:pPr>
      <w:r>
        <w:t>Never accept model-provider credentials through logs or telemetry fields.</w:t>
      </w:r>
    </w:p>
    <w:p>
      <w:pPr>
        <w:pStyle w:val="ListBullet"/>
        <w:spacing w:after="40"/>
      </w:pPr>
      <w:r>
        <w:t>Production: scoped keys/OAuth/service identities and tenant isolation.</w:t>
      </w:r>
    </w:p>
    <w:p>
      <w:pPr>
        <w:pStyle w:val="Heading1"/>
      </w:pPr>
      <w:r>
        <w:t>16. SDK Specification</w:t>
      </w:r>
    </w:p>
    <w:p>
      <w:pPr>
        <w:pStyle w:val="Heading2"/>
      </w:pPr>
      <w:r>
        <w:t>16.1 Python v0.1</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5"/>
              </w:rPr>
              <w:t>from ai_reliability import Reliability</w:t>
              <w:br/>
              <w:br/>
              <w:t>rel = Reliability(</w:t>
              <w:br/>
              <w:t xml:space="preserve">    service="support-agent",</w:t>
              <w:br/>
              <w:t xml:space="preserve">    endpoint="http://localhost:8080",</w:t>
              <w:br/>
              <w:t xml:space="preserve">    api_key="..."</w:t>
              <w:br/>
              <w:t>)</w:t>
              <w:br/>
              <w:br/>
              <w:t>with rel.transaction(intent="shipment_status") as tx:</w:t>
              <w:br/>
              <w:t xml:space="preserve">    response = tx.gemini.generate_content(prompt)</w:t>
              <w:br/>
              <w:t xml:space="preserve">    tx.outcome(success=True)</w:t>
            </w:r>
          </w:p>
        </w:tc>
      </w:tr>
    </w:tbl>
    <w:p>
      <w:pPr>
        <w:pStyle w:val="Heading2"/>
      </w:pPr>
      <w:r>
        <w:t>16.2 Required SDK behaviors</w:t>
      </w:r>
    </w:p>
    <w:p>
      <w:pPr>
        <w:pStyle w:val="ListBullet"/>
        <w:spacing w:after="40"/>
      </w:pPr>
      <w:r>
        <w:t>Fail-open by default: observability failure must not break the customer application.</w:t>
      </w:r>
    </w:p>
    <w:p>
      <w:pPr>
        <w:pStyle w:val="ListBullet"/>
        <w:spacing w:after="40"/>
      </w:pPr>
      <w:r>
        <w:t>Asynchronous/batched export where possible.</w:t>
      </w:r>
    </w:p>
    <w:p>
      <w:pPr>
        <w:pStyle w:val="ListBullet"/>
        <w:spacing w:after="40"/>
      </w:pPr>
      <w:r>
        <w:t>Configurable sampling.</w:t>
      </w:r>
    </w:p>
    <w:p>
      <w:pPr>
        <w:pStyle w:val="ListBullet"/>
        <w:spacing w:after="40"/>
      </w:pPr>
      <w:r>
        <w:t>Content capture disabled by default.</w:t>
      </w:r>
    </w:p>
    <w:p>
      <w:pPr>
        <w:pStyle w:val="ListBullet"/>
        <w:spacing w:after="40"/>
      </w:pPr>
      <w:r>
        <w:t>Provider adapter interface.</w:t>
      </w:r>
    </w:p>
    <w:p>
      <w:pPr>
        <w:pStyle w:val="ListBullet"/>
        <w:spacing w:after="40"/>
      </w:pPr>
      <w:r>
        <w:t>OTel context propagation.</w:t>
      </w:r>
    </w:p>
    <w:p>
      <w:pPr>
        <w:pStyle w:val="ListBullet"/>
        <w:spacing w:after="40"/>
      </w:pPr>
      <w:r>
        <w:t>Manual span API for tools/retrieval/custom steps.</w:t>
      </w:r>
    </w:p>
    <w:p>
      <w:pPr>
        <w:pStyle w:val="ListBullet"/>
        <w:spacing w:after="40"/>
      </w:pPr>
      <w:r>
        <w:t>Local development mode without SaaS dependency.</w:t>
      </w:r>
    </w:p>
    <w:p>
      <w:pPr>
        <w:pStyle w:val="Heading1"/>
      </w:pPr>
      <w:r>
        <w:t>17. Prompt Analysis Engine - MVP Algorithm</w:t>
      </w:r>
    </w:p>
    <w:p>
      <w:pPr>
        <w:pStyle w:val="Heading2"/>
      </w:pPr>
      <w:r>
        <w:t>17.1 Deterministic pass</w:t>
      </w:r>
    </w:p>
    <w:p>
      <w:pPr>
        <w:pStyle w:val="ListBullet"/>
        <w:spacing w:after="40"/>
      </w:pPr>
      <w:r>
        <w:t>Detect missing task/instruction.</w:t>
      </w:r>
    </w:p>
    <w:p>
      <w:pPr>
        <w:pStyle w:val="ListBullet"/>
        <w:spacing w:after="40"/>
      </w:pPr>
      <w:r>
        <w:t>Detect conflicting explicit constraints where feasible.</w:t>
      </w:r>
    </w:p>
    <w:p>
      <w:pPr>
        <w:pStyle w:val="ListBullet"/>
        <w:spacing w:after="40"/>
      </w:pPr>
      <w:r>
        <w:t>Detect requested current/factual answer without configured grounding/retrieval.</w:t>
      </w:r>
    </w:p>
    <w:p>
      <w:pPr>
        <w:pStyle w:val="ListBullet"/>
        <w:spacing w:after="40"/>
      </w:pPr>
      <w:r>
        <w:t>Detect forced-certainty patterns.</w:t>
      </w:r>
    </w:p>
    <w:p>
      <w:pPr>
        <w:pStyle w:val="ListBullet"/>
        <w:spacing w:after="40"/>
      </w:pPr>
      <w:r>
        <w:t>Detect missing abstention/insufficient-evidence behavior for high-risk factual intents.</w:t>
      </w:r>
    </w:p>
    <w:p>
      <w:pPr>
        <w:pStyle w:val="ListBullet"/>
        <w:spacing w:after="40"/>
      </w:pPr>
      <w:r>
        <w:t>Detect missing output schema/format where application expects structured output.</w:t>
      </w:r>
    </w:p>
    <w:p>
      <w:pPr>
        <w:pStyle w:val="ListBullet"/>
        <w:spacing w:after="40"/>
      </w:pPr>
      <w:r>
        <w:t>Measure prompt/context length and duplication heuristics.</w:t>
      </w:r>
    </w:p>
    <w:p>
      <w:pPr>
        <w:pStyle w:val="ListBullet"/>
        <w:spacing w:after="40"/>
      </w:pPr>
      <w:r>
        <w:t>Check presence of tool/retrieval guidance when tools are configured.</w:t>
      </w:r>
    </w:p>
    <w:p>
      <w:pPr>
        <w:pStyle w:val="Heading2"/>
      </w:pPr>
      <w:r>
        <w:t>17.2 Optional evaluator pass</w:t>
      </w:r>
    </w:p>
    <w:p>
      <w:pPr>
        <w:pStyle w:val="ListBullet"/>
        <w:spacing w:after="40"/>
      </w:pPr>
      <w:r>
        <w:t>Use a versioned rubric.</w:t>
      </w:r>
    </w:p>
    <w:p>
      <w:pPr>
        <w:pStyle w:val="ListBullet"/>
        <w:spacing w:after="40"/>
      </w:pPr>
      <w:r>
        <w:t>Return component scores, explanations, confidence, evaluator model/version.</w:t>
      </w:r>
    </w:p>
    <w:p>
      <w:pPr>
        <w:pStyle w:val="ListBullet"/>
        <w:spacing w:after="40"/>
      </w:pPr>
      <w:r>
        <w:t>Do not send secrets, credentials, or unredacted sensitive content.</w:t>
      </w:r>
    </w:p>
    <w:p>
      <w:pPr>
        <w:pStyle w:val="ListBullet"/>
        <w:spacing w:after="40"/>
      </w:pPr>
      <w:r>
        <w:t>Allow customer-selected evaluator endpoint.</w:t>
      </w:r>
    </w:p>
    <w:p>
      <w:pPr>
        <w:pStyle w:val="ListBullet"/>
        <w:spacing w:after="40"/>
      </w:pPr>
      <w:r>
        <w:t>Cache evaluations by prompt hash + rubric version + evaluator version where appropriate.</w:t>
      </w:r>
    </w:p>
    <w:p>
      <w:pPr>
        <w:pStyle w:val="Heading1"/>
      </w:pPr>
      <w:r>
        <w:t>18. CI/CD Developer Workflow</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5"/>
              </w:rPr>
              <w:t>developer changes prompt</w:t>
              <w:br/>
              <w:t xml:space="preserve">       |</w:t>
              <w:br/>
              <w:t xml:space="preserve">       v</w:t>
              <w:br/>
              <w:t>run regression dataset</w:t>
              <w:br/>
              <w:t xml:space="preserve">       |</w:t>
              <w:br/>
              <w:t xml:space="preserve">       +--&gt; prompt-quality checks</w:t>
              <w:br/>
              <w:t xml:space="preserve">       +--&gt; grounding evaluation</w:t>
              <w:br/>
              <w:t xml:space="preserve">       +--&gt; quality evaluation</w:t>
              <w:br/>
              <w:t xml:space="preserve">       +--&gt; efficiency comparison</w:t>
              <w:br/>
              <w:t xml:space="preserve">       |</w:t>
              <w:br/>
              <w:t xml:space="preserve">       v</w:t>
              <w:br/>
              <w:t>compare baseline vs candidate</w:t>
              <w:br/>
              <w:t xml:space="preserve">       |</w:t>
              <w:br/>
              <w:t xml:space="preserve">       +--&gt; PASS -&gt; merge/deploy</w:t>
              <w:br/>
              <w:t xml:space="preserve">       |</w:t>
              <w:br/>
              <w:t xml:space="preserve">       +--&gt; FAIL -&gt; show exact regressions</w:t>
            </w:r>
          </w:p>
        </w:tc>
      </w:tr>
    </w:tbl>
    <w:p>
      <w:pPr>
        <w:pStyle w:val="Heading2"/>
      </w:pPr>
      <w:r>
        <w:t>18.1 Example gate</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5"/>
              </w:rPr>
              <w:t>candidate: support-agent-v18</w:t>
              <w:br/>
              <w:t>prompt_quality: 84 -&gt; 91 PASS</w:t>
              <w:br/>
              <w:t>grounding_pass: 97.0% -&gt; 99.0% PASS</w:t>
              <w:br/>
              <w:t>quality_pass: 97.8% -&gt; 98.1% PASS</w:t>
              <w:br/>
              <w:t>avg_input_tokens: 4821 -&gt; 3102 PASS</w:t>
              <w:br/>
              <w:t>cost/outcome: 0.041 -&gt; 0.026 PASS</w:t>
              <w:br/>
              <w:t>critical_safety_regressions: 0 PASS</w:t>
              <w:br/>
              <w:t>release_gate: PASS</w:t>
            </w:r>
          </w:p>
        </w:tc>
      </w:tr>
    </w:tbl>
    <w:p>
      <w:pPr>
        <w:pStyle w:val="Heading1"/>
      </w:pPr>
      <w:r>
        <w:t>19. Storage Model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rFonts w:ascii="Aptos" w:hAnsi="Aptos"/>
                <w:b/>
                <w:color w:val="FFFFFF"/>
                <w:sz w:val="16"/>
              </w:rPr>
              <w:t>Entity</w:t>
            </w:r>
          </w:p>
        </w:tc>
        <w:tc>
          <w:tcPr>
            <w:tcW w:type="dxa" w:w="5184"/>
            <w:vAlign w:val="center"/>
            <w:shd w:fill="1F4E78"/>
          </w:tcPr>
          <w:p>
            <w:r/>
            <w:r>
              <w:rPr>
                <w:rFonts w:ascii="Aptos" w:hAnsi="Aptos"/>
                <w:b/>
                <w:color w:val="FFFFFF"/>
                <w:sz w:val="16"/>
              </w:rPr>
              <w:t>Core fields</w:t>
            </w:r>
          </w:p>
        </w:tc>
      </w:tr>
      <w:tr>
        <w:tc>
          <w:tcPr>
            <w:tcW w:type="dxa" w:w="5184"/>
            <w:vAlign w:val="center"/>
          </w:tcPr>
          <w:p>
            <w:r/>
            <w:r>
              <w:rPr>
                <w:rFonts w:ascii="Aptos" w:hAnsi="Aptos"/>
                <w:b w:val="0"/>
                <w:sz w:val="16"/>
              </w:rPr>
              <w:t>projects</w:t>
            </w:r>
          </w:p>
        </w:tc>
        <w:tc>
          <w:tcPr>
            <w:tcW w:type="dxa" w:w="5184"/>
            <w:vAlign w:val="center"/>
          </w:tcPr>
          <w:p>
            <w:r/>
            <w:r>
              <w:rPr>
                <w:rFonts w:ascii="Aptos" w:hAnsi="Aptos"/>
                <w:b w:val="0"/>
                <w:sz w:val="16"/>
              </w:rPr>
              <w:t>id, name, key_hash, created_at</w:t>
            </w:r>
          </w:p>
        </w:tc>
      </w:tr>
      <w:tr>
        <w:tc>
          <w:tcPr>
            <w:tcW w:type="dxa" w:w="5184"/>
            <w:vAlign w:val="center"/>
            <w:shd w:fill="F4F7FA"/>
          </w:tcPr>
          <w:p>
            <w:r/>
            <w:r>
              <w:rPr>
                <w:rFonts w:ascii="Aptos" w:hAnsi="Aptos"/>
                <w:b w:val="0"/>
                <w:sz w:val="16"/>
              </w:rPr>
              <w:t>services</w:t>
            </w:r>
          </w:p>
        </w:tc>
        <w:tc>
          <w:tcPr>
            <w:tcW w:type="dxa" w:w="5184"/>
            <w:vAlign w:val="center"/>
            <w:shd w:fill="F4F7FA"/>
          </w:tcPr>
          <w:p>
            <w:r/>
            <w:r>
              <w:rPr>
                <w:rFonts w:ascii="Aptos" w:hAnsi="Aptos"/>
                <w:b w:val="0"/>
                <w:sz w:val="16"/>
              </w:rPr>
              <w:t>id, project_id, name, version, environment</w:t>
            </w:r>
          </w:p>
        </w:tc>
      </w:tr>
      <w:tr>
        <w:tc>
          <w:tcPr>
            <w:tcW w:type="dxa" w:w="5184"/>
            <w:vAlign w:val="center"/>
          </w:tcPr>
          <w:p>
            <w:r/>
            <w:r>
              <w:rPr>
                <w:rFonts w:ascii="Aptos" w:hAnsi="Aptos"/>
                <w:b w:val="0"/>
                <w:sz w:val="16"/>
              </w:rPr>
              <w:t>transactions</w:t>
            </w:r>
          </w:p>
        </w:tc>
        <w:tc>
          <w:tcPr>
            <w:tcW w:type="dxa" w:w="5184"/>
            <w:vAlign w:val="center"/>
          </w:tcPr>
          <w:p>
            <w:r/>
            <w:r>
              <w:rPr>
                <w:rFonts w:ascii="Aptos" w:hAnsi="Aptos"/>
                <w:b w:val="0"/>
                <w:sz w:val="16"/>
              </w:rPr>
              <w:t>id, trace_id, service_id, intent, provider, model, timestamps, outcome</w:t>
            </w:r>
          </w:p>
        </w:tc>
      </w:tr>
      <w:tr>
        <w:tc>
          <w:tcPr>
            <w:tcW w:type="dxa" w:w="5184"/>
            <w:vAlign w:val="center"/>
            <w:shd w:fill="F4F7FA"/>
          </w:tcPr>
          <w:p>
            <w:r/>
            <w:r>
              <w:rPr>
                <w:rFonts w:ascii="Aptos" w:hAnsi="Aptos"/>
                <w:b w:val="0"/>
                <w:sz w:val="16"/>
              </w:rPr>
              <w:t>spans</w:t>
            </w:r>
          </w:p>
        </w:tc>
        <w:tc>
          <w:tcPr>
            <w:tcW w:type="dxa" w:w="5184"/>
            <w:vAlign w:val="center"/>
            <w:shd w:fill="F4F7FA"/>
          </w:tcPr>
          <w:p>
            <w:r/>
            <w:r>
              <w:rPr>
                <w:rFonts w:ascii="Aptos" w:hAnsi="Aptos"/>
                <w:b w:val="0"/>
                <w:sz w:val="16"/>
              </w:rPr>
              <w:t>id, transaction_id, parent_id, kind, name, duration, attributes</w:t>
            </w:r>
          </w:p>
        </w:tc>
      </w:tr>
      <w:tr>
        <w:tc>
          <w:tcPr>
            <w:tcW w:type="dxa" w:w="5184"/>
            <w:vAlign w:val="center"/>
          </w:tcPr>
          <w:p>
            <w:r/>
            <w:r>
              <w:rPr>
                <w:rFonts w:ascii="Aptos" w:hAnsi="Aptos"/>
                <w:b w:val="0"/>
                <w:sz w:val="16"/>
              </w:rPr>
              <w:t>usage</w:t>
            </w:r>
          </w:p>
        </w:tc>
        <w:tc>
          <w:tcPr>
            <w:tcW w:type="dxa" w:w="5184"/>
            <w:vAlign w:val="center"/>
          </w:tcPr>
          <w:p>
            <w:r/>
            <w:r>
              <w:rPr>
                <w:rFonts w:ascii="Aptos" w:hAnsi="Aptos"/>
                <w:b w:val="0"/>
                <w:sz w:val="16"/>
              </w:rPr>
              <w:t>transaction_id, input_tokens, output_tokens, cached_tokens, estimated_cost</w:t>
            </w:r>
          </w:p>
        </w:tc>
      </w:tr>
      <w:tr>
        <w:tc>
          <w:tcPr>
            <w:tcW w:type="dxa" w:w="5184"/>
            <w:vAlign w:val="center"/>
            <w:shd w:fill="F4F7FA"/>
          </w:tcPr>
          <w:p>
            <w:r/>
            <w:r>
              <w:rPr>
                <w:rFonts w:ascii="Aptos" w:hAnsi="Aptos"/>
                <w:b w:val="0"/>
                <w:sz w:val="16"/>
              </w:rPr>
              <w:t>evaluations</w:t>
            </w:r>
          </w:p>
        </w:tc>
        <w:tc>
          <w:tcPr>
            <w:tcW w:type="dxa" w:w="5184"/>
            <w:vAlign w:val="center"/>
            <w:shd w:fill="F4F7FA"/>
          </w:tcPr>
          <w:p>
            <w:r/>
            <w:r>
              <w:rPr>
                <w:rFonts w:ascii="Aptos" w:hAnsi="Aptos"/>
                <w:b w:val="0"/>
                <w:sz w:val="16"/>
              </w:rPr>
              <w:t>transaction_id, type, score, label, explanation, evaluator metadata</w:t>
            </w:r>
          </w:p>
        </w:tc>
      </w:tr>
      <w:tr>
        <w:tc>
          <w:tcPr>
            <w:tcW w:type="dxa" w:w="5184"/>
            <w:vAlign w:val="center"/>
          </w:tcPr>
          <w:p>
            <w:r/>
            <w:r>
              <w:rPr>
                <w:rFonts w:ascii="Aptos" w:hAnsi="Aptos"/>
                <w:b w:val="0"/>
                <w:sz w:val="16"/>
              </w:rPr>
              <w:t>prompt_versions</w:t>
            </w:r>
          </w:p>
        </w:tc>
        <w:tc>
          <w:tcPr>
            <w:tcW w:type="dxa" w:w="5184"/>
            <w:vAlign w:val="center"/>
          </w:tcPr>
          <w:p>
            <w:r/>
            <w:r>
              <w:rPr>
                <w:rFonts w:ascii="Aptos" w:hAnsi="Aptos"/>
                <w:b w:val="0"/>
                <w:sz w:val="16"/>
              </w:rPr>
              <w:t>id, service_id, hash, version, metadata</w:t>
            </w:r>
          </w:p>
        </w:tc>
      </w:tr>
      <w:tr>
        <w:tc>
          <w:tcPr>
            <w:tcW w:type="dxa" w:w="5184"/>
            <w:vAlign w:val="center"/>
            <w:shd w:fill="F4F7FA"/>
          </w:tcPr>
          <w:p>
            <w:r/>
            <w:r>
              <w:rPr>
                <w:rFonts w:ascii="Aptos" w:hAnsi="Aptos"/>
                <w:b w:val="0"/>
                <w:sz w:val="16"/>
              </w:rPr>
              <w:t>prompt_scores</w:t>
            </w:r>
          </w:p>
        </w:tc>
        <w:tc>
          <w:tcPr>
            <w:tcW w:type="dxa" w:w="5184"/>
            <w:vAlign w:val="center"/>
            <w:shd w:fill="F4F7FA"/>
          </w:tcPr>
          <w:p>
            <w:r/>
            <w:r>
              <w:rPr>
                <w:rFonts w:ascii="Aptos" w:hAnsi="Aptos"/>
                <w:b w:val="0"/>
                <w:sz w:val="16"/>
              </w:rPr>
              <w:t>prompt_version_id, rubric_version, components, total, confidence</w:t>
            </w:r>
          </w:p>
        </w:tc>
      </w:tr>
      <w:tr>
        <w:tc>
          <w:tcPr>
            <w:tcW w:type="dxa" w:w="5184"/>
            <w:vAlign w:val="center"/>
          </w:tcPr>
          <w:p>
            <w:r/>
            <w:r>
              <w:rPr>
                <w:rFonts w:ascii="Aptos" w:hAnsi="Aptos"/>
                <w:b w:val="0"/>
                <w:sz w:val="16"/>
              </w:rPr>
              <w:t>slo_definitions</w:t>
            </w:r>
          </w:p>
        </w:tc>
        <w:tc>
          <w:tcPr>
            <w:tcW w:type="dxa" w:w="5184"/>
            <w:vAlign w:val="center"/>
          </w:tcPr>
          <w:p>
            <w:r/>
            <w:r>
              <w:rPr>
                <w:rFonts w:ascii="Aptos" w:hAnsi="Aptos"/>
                <w:b w:val="0"/>
                <w:sz w:val="16"/>
              </w:rPr>
              <w:t>service_id, dimension, target, window, selector</w:t>
            </w:r>
          </w:p>
        </w:tc>
      </w:tr>
      <w:tr>
        <w:tc>
          <w:tcPr>
            <w:tcW w:type="dxa" w:w="5184"/>
            <w:vAlign w:val="center"/>
            <w:shd w:fill="F4F7FA"/>
          </w:tcPr>
          <w:p>
            <w:r/>
            <w:r>
              <w:rPr>
                <w:rFonts w:ascii="Aptos" w:hAnsi="Aptos"/>
                <w:b w:val="0"/>
                <w:sz w:val="16"/>
              </w:rPr>
              <w:t>slo_snapshots</w:t>
            </w:r>
          </w:p>
        </w:tc>
        <w:tc>
          <w:tcPr>
            <w:tcW w:type="dxa" w:w="5184"/>
            <w:vAlign w:val="center"/>
            <w:shd w:fill="F4F7FA"/>
          </w:tcPr>
          <w:p>
            <w:r/>
            <w:r>
              <w:rPr>
                <w:rFonts w:ascii="Aptos" w:hAnsi="Aptos"/>
                <w:b w:val="0"/>
                <w:sz w:val="16"/>
              </w:rPr>
              <w:t>definition_id, window, good, total, budget_remaining, burn_rate</w:t>
            </w:r>
          </w:p>
        </w:tc>
      </w:tr>
      <w:tr>
        <w:tc>
          <w:tcPr>
            <w:tcW w:type="dxa" w:w="5184"/>
            <w:vAlign w:val="center"/>
          </w:tcPr>
          <w:p>
            <w:r/>
            <w:r>
              <w:rPr>
                <w:rFonts w:ascii="Aptos" w:hAnsi="Aptos"/>
                <w:b w:val="0"/>
                <w:sz w:val="16"/>
              </w:rPr>
              <w:t>efficiency_envelopes</w:t>
            </w:r>
          </w:p>
        </w:tc>
        <w:tc>
          <w:tcPr>
            <w:tcW w:type="dxa" w:w="5184"/>
            <w:vAlign w:val="center"/>
          </w:tcPr>
          <w:p>
            <w:r/>
            <w:r>
              <w:rPr>
                <w:rFonts w:ascii="Aptos" w:hAnsi="Aptos"/>
                <w:b w:val="0"/>
                <w:sz w:val="16"/>
              </w:rPr>
              <w:t>service_id, intent, limits_json, version</w:t>
            </w:r>
          </w:p>
        </w:tc>
      </w:tr>
    </w:tbl>
    <w:p>
      <w:r>
        <w:t>Raw prompt/output content should not be required for the core schema. If content storage is enabled, place it behind separate retention/encryption/access controls.</w:t>
      </w:r>
    </w:p>
    <w:p>
      <w:pPr>
        <w:pStyle w:val="Heading1"/>
      </w:pPr>
      <w:r>
        <w:t>20. Security and Privacy Requirements</w:t>
      </w:r>
    </w:p>
    <w:p>
      <w:pPr>
        <w:pStyle w:val="ListBullet"/>
        <w:spacing w:after="40"/>
      </w:pPr>
      <w:r>
        <w:t>Metadata-first collection; prompt/output content OFF by default.</w:t>
      </w:r>
    </w:p>
    <w:p>
      <w:pPr>
        <w:pStyle w:val="ListBullet"/>
        <w:spacing w:after="40"/>
      </w:pPr>
      <w:r>
        <w:t>Redaction hooks before export.</w:t>
      </w:r>
    </w:p>
    <w:p>
      <w:pPr>
        <w:pStyle w:val="ListBullet"/>
        <w:spacing w:after="40"/>
      </w:pPr>
      <w:r>
        <w:t>Never log provider API keys, authorization headers, secrets, or uploaded document contents by default.</w:t>
      </w:r>
    </w:p>
    <w:p>
      <w:pPr>
        <w:pStyle w:val="ListBullet"/>
        <w:spacing w:after="40"/>
      </w:pPr>
      <w:r>
        <w:t>Support content hashing for prompt-version correlation without storing full text.</w:t>
      </w:r>
    </w:p>
    <w:p>
      <w:pPr>
        <w:pStyle w:val="ListBullet"/>
        <w:spacing w:after="40"/>
      </w:pPr>
      <w:r>
        <w:t>Explicit retention controls.</w:t>
      </w:r>
    </w:p>
    <w:p>
      <w:pPr>
        <w:pStyle w:val="ListBullet"/>
        <w:spacing w:after="40"/>
      </w:pPr>
      <w:r>
        <w:t>Encrypt data in transit and at rest in hosted product.</w:t>
      </w:r>
    </w:p>
    <w:p>
      <w:pPr>
        <w:pStyle w:val="ListBullet"/>
        <w:spacing w:after="40"/>
      </w:pPr>
      <w:r>
        <w:t>Tenant/project isolation for commercial version.</w:t>
      </w:r>
    </w:p>
    <w:p>
      <w:pPr>
        <w:pStyle w:val="ListBullet"/>
        <w:spacing w:after="40"/>
      </w:pPr>
      <w:r>
        <w:t>Document evaluator data flow and provider data-use implications.</w:t>
      </w:r>
    </w:p>
    <w:p>
      <w:pPr>
        <w:pStyle w:val="ListBullet"/>
        <w:spacing w:after="40"/>
      </w:pPr>
      <w:r>
        <w:t>Provide deletion/export mechanisms in commercial product.</w:t>
      </w:r>
    </w:p>
    <w:p>
      <w:pPr>
        <w:pStyle w:val="Heading1"/>
      </w:pPr>
      <w:r>
        <w:t>21. Cost Model</w:t>
      </w:r>
    </w:p>
    <w:p>
      <w:r>
        <w:t>Your platform can run without an evaluator LLM for basic telemetry, SLOs, budgets and deterministic prompt checks. Model-assisted evaluation creates variable cost and should be metered.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Cost source</w:t>
            </w:r>
          </w:p>
        </w:tc>
        <w:tc>
          <w:tcPr>
            <w:tcW w:type="dxa" w:w="3456"/>
            <w:vAlign w:val="center"/>
            <w:shd w:fill="1F4E78"/>
          </w:tcPr>
          <w:p>
            <w:r/>
            <w:r>
              <w:rPr>
                <w:rFonts w:ascii="Aptos" w:hAnsi="Aptos"/>
                <w:b/>
                <w:color w:val="FFFFFF"/>
                <w:sz w:val="16"/>
              </w:rPr>
              <w:t>Who should pay in MVP?</w:t>
            </w:r>
          </w:p>
        </w:tc>
        <w:tc>
          <w:tcPr>
            <w:tcW w:type="dxa" w:w="3456"/>
            <w:vAlign w:val="center"/>
            <w:shd w:fill="1F4E78"/>
          </w:tcPr>
          <w:p>
            <w:r/>
            <w:r>
              <w:rPr>
                <w:rFonts w:ascii="Aptos" w:hAnsi="Aptos"/>
                <w:b/>
                <w:color w:val="FFFFFF"/>
                <w:sz w:val="16"/>
              </w:rPr>
              <w:t>Commercial strategy</w:t>
            </w:r>
          </w:p>
        </w:tc>
      </w:tr>
      <w:tr>
        <w:tc>
          <w:tcPr>
            <w:tcW w:type="dxa" w:w="3456"/>
            <w:vAlign w:val="center"/>
          </w:tcPr>
          <w:p>
            <w:r/>
            <w:r>
              <w:rPr>
                <w:rFonts w:ascii="Aptos" w:hAnsi="Aptos"/>
                <w:b w:val="0"/>
                <w:sz w:val="16"/>
              </w:rPr>
              <w:t>Gemini demo calls</w:t>
            </w:r>
          </w:p>
        </w:tc>
        <w:tc>
          <w:tcPr>
            <w:tcW w:type="dxa" w:w="3456"/>
            <w:vAlign w:val="center"/>
          </w:tcPr>
          <w:p>
            <w:r/>
            <w:r>
              <w:rPr>
                <w:rFonts w:ascii="Aptos" w:hAnsi="Aptos"/>
                <w:b w:val="0"/>
                <w:sz w:val="16"/>
              </w:rPr>
              <w:t>You, using free/low-cost developer usage where available</w:t>
            </w:r>
          </w:p>
        </w:tc>
        <w:tc>
          <w:tcPr>
            <w:tcW w:type="dxa" w:w="3456"/>
            <w:vAlign w:val="center"/>
          </w:tcPr>
          <w:p>
            <w:r/>
            <w:r>
              <w:rPr>
                <w:rFonts w:ascii="Aptos" w:hAnsi="Aptos"/>
                <w:b w:val="0"/>
                <w:sz w:val="16"/>
              </w:rPr>
              <w:t>N/A</w:t>
            </w:r>
          </w:p>
        </w:tc>
      </w:tr>
      <w:tr>
        <w:tc>
          <w:tcPr>
            <w:tcW w:type="dxa" w:w="3456"/>
            <w:vAlign w:val="center"/>
            <w:shd w:fill="F4F7FA"/>
          </w:tcPr>
          <w:p>
            <w:r/>
            <w:r>
              <w:rPr>
                <w:rFonts w:ascii="Aptos" w:hAnsi="Aptos"/>
                <w:b w:val="0"/>
                <w:sz w:val="16"/>
              </w:rPr>
              <w:t>Customer workload calls</w:t>
            </w:r>
          </w:p>
        </w:tc>
        <w:tc>
          <w:tcPr>
            <w:tcW w:type="dxa" w:w="3456"/>
            <w:vAlign w:val="center"/>
            <w:shd w:fill="F4F7FA"/>
          </w:tcPr>
          <w:p>
            <w:r/>
            <w:r>
              <w:rPr>
                <w:rFonts w:ascii="Aptos" w:hAnsi="Aptos"/>
                <w:b w:val="0"/>
                <w:sz w:val="16"/>
              </w:rPr>
              <w:t>Customer</w:t>
            </w:r>
          </w:p>
        </w:tc>
        <w:tc>
          <w:tcPr>
            <w:tcW w:type="dxa" w:w="3456"/>
            <w:vAlign w:val="center"/>
            <w:shd w:fill="F4F7FA"/>
          </w:tcPr>
          <w:p>
            <w:r/>
            <w:r>
              <w:rPr>
                <w:rFonts w:ascii="Aptos" w:hAnsi="Aptos"/>
                <w:b w:val="0"/>
                <w:sz w:val="16"/>
              </w:rPr>
              <w:t>BYO provider credentials/account</w:t>
            </w:r>
          </w:p>
        </w:tc>
      </w:tr>
      <w:tr>
        <w:tc>
          <w:tcPr>
            <w:tcW w:type="dxa" w:w="3456"/>
            <w:vAlign w:val="center"/>
          </w:tcPr>
          <w:p>
            <w:r/>
            <w:r>
              <w:rPr>
                <w:rFonts w:ascii="Aptos" w:hAnsi="Aptos"/>
                <w:b w:val="0"/>
                <w:sz w:val="16"/>
              </w:rPr>
              <w:t>Customer evaluator calls</w:t>
            </w:r>
          </w:p>
        </w:tc>
        <w:tc>
          <w:tcPr>
            <w:tcW w:type="dxa" w:w="3456"/>
            <w:vAlign w:val="center"/>
          </w:tcPr>
          <w:p>
            <w:r/>
            <w:r>
              <w:rPr>
                <w:rFonts w:ascii="Aptos" w:hAnsi="Aptos"/>
                <w:b w:val="0"/>
                <w:sz w:val="16"/>
              </w:rPr>
              <w:t>Customer by default</w:t>
            </w:r>
          </w:p>
        </w:tc>
        <w:tc>
          <w:tcPr>
            <w:tcW w:type="dxa" w:w="3456"/>
            <w:vAlign w:val="center"/>
          </w:tcPr>
          <w:p>
            <w:r/>
            <w:r>
              <w:rPr>
                <w:rFonts w:ascii="Aptos" w:hAnsi="Aptos"/>
                <w:b w:val="0"/>
                <w:sz w:val="16"/>
              </w:rPr>
              <w:t>BYO evaluator or metered managed evaluator</w:t>
            </w:r>
          </w:p>
        </w:tc>
      </w:tr>
      <w:tr>
        <w:tc>
          <w:tcPr>
            <w:tcW w:type="dxa" w:w="3456"/>
            <w:vAlign w:val="center"/>
            <w:shd w:fill="F4F7FA"/>
          </w:tcPr>
          <w:p>
            <w:r/>
            <w:r>
              <w:rPr>
                <w:rFonts w:ascii="Aptos" w:hAnsi="Aptos"/>
                <w:b w:val="0"/>
                <w:sz w:val="16"/>
              </w:rPr>
              <w:t>Telemetry storage</w:t>
            </w:r>
          </w:p>
        </w:tc>
        <w:tc>
          <w:tcPr>
            <w:tcW w:type="dxa" w:w="3456"/>
            <w:vAlign w:val="center"/>
            <w:shd w:fill="F4F7FA"/>
          </w:tcPr>
          <w:p>
            <w:r/>
            <w:r>
              <w:rPr>
                <w:rFonts w:ascii="Aptos" w:hAnsi="Aptos"/>
                <w:b w:val="0"/>
                <w:sz w:val="16"/>
              </w:rPr>
              <w:t>Local/dev</w:t>
            </w:r>
          </w:p>
        </w:tc>
        <w:tc>
          <w:tcPr>
            <w:tcW w:type="dxa" w:w="3456"/>
            <w:vAlign w:val="center"/>
            <w:shd w:fill="F4F7FA"/>
          </w:tcPr>
          <w:p>
            <w:r/>
            <w:r>
              <w:rPr>
                <w:rFonts w:ascii="Aptos" w:hAnsi="Aptos"/>
                <w:b w:val="0"/>
                <w:sz w:val="16"/>
              </w:rPr>
              <w:t>Tiered retention/ingest</w:t>
            </w:r>
          </w:p>
        </w:tc>
      </w:tr>
      <w:tr>
        <w:tc>
          <w:tcPr>
            <w:tcW w:type="dxa" w:w="3456"/>
            <w:vAlign w:val="center"/>
          </w:tcPr>
          <w:p>
            <w:r/>
            <w:r>
              <w:rPr>
                <w:rFonts w:ascii="Aptos" w:hAnsi="Aptos"/>
                <w:b w:val="0"/>
                <w:sz w:val="16"/>
              </w:rPr>
              <w:t>Dashboard/API compute</w:t>
            </w:r>
          </w:p>
        </w:tc>
        <w:tc>
          <w:tcPr>
            <w:tcW w:type="dxa" w:w="3456"/>
            <w:vAlign w:val="center"/>
          </w:tcPr>
          <w:p>
            <w:r/>
            <w:r>
              <w:rPr>
                <w:rFonts w:ascii="Aptos" w:hAnsi="Aptos"/>
                <w:b w:val="0"/>
                <w:sz w:val="16"/>
              </w:rPr>
              <w:t>Local/dev</w:t>
            </w:r>
          </w:p>
        </w:tc>
        <w:tc>
          <w:tcPr>
            <w:tcW w:type="dxa" w:w="3456"/>
            <w:vAlign w:val="center"/>
          </w:tcPr>
          <w:p>
            <w:r/>
            <w:r>
              <w:rPr>
                <w:rFonts w:ascii="Aptos" w:hAnsi="Aptos"/>
                <w:b w:val="0"/>
                <w:sz w:val="16"/>
              </w:rPr>
              <w:t>Subscription/usage</w:t>
            </w:r>
          </w:p>
        </w:tc>
      </w:tr>
    </w:tbl>
    <w:p>
      <w:r>
        <w:t>Google's current Gemini Developer API pricing includes a free tier for developers/small projects and paid tiers for production use; exact model pricing and limits change, so cost calculators must be configuration-driven rather than hard-coded.</w:t>
      </w:r>
    </w:p>
    <w:p>
      <w:pPr>
        <w:pStyle w:val="Heading1"/>
      </w:pPr>
      <w:r>
        <w:t>22. Technology Stack Recommendation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Layer</w:t>
            </w:r>
          </w:p>
        </w:tc>
        <w:tc>
          <w:tcPr>
            <w:tcW w:type="dxa" w:w="3456"/>
            <w:vAlign w:val="center"/>
            <w:shd w:fill="1F4E78"/>
          </w:tcPr>
          <w:p>
            <w:r/>
            <w:r>
              <w:rPr>
                <w:rFonts w:ascii="Aptos" w:hAnsi="Aptos"/>
                <w:b/>
                <w:color w:val="FFFFFF"/>
                <w:sz w:val="16"/>
              </w:rPr>
              <w:t>7-day MVP recommendation</w:t>
            </w:r>
          </w:p>
        </w:tc>
        <w:tc>
          <w:tcPr>
            <w:tcW w:type="dxa" w:w="3456"/>
            <w:vAlign w:val="center"/>
            <w:shd w:fill="1F4E78"/>
          </w:tcPr>
          <w:p>
            <w:r/>
            <w:r>
              <w:rPr>
                <w:rFonts w:ascii="Aptos" w:hAnsi="Aptos"/>
                <w:b/>
                <w:color w:val="FFFFFF"/>
                <w:sz w:val="16"/>
              </w:rPr>
              <w:t>Why</w:t>
            </w:r>
          </w:p>
        </w:tc>
      </w:tr>
      <w:tr>
        <w:tc>
          <w:tcPr>
            <w:tcW w:type="dxa" w:w="3456"/>
            <w:vAlign w:val="center"/>
          </w:tcPr>
          <w:p>
            <w:r/>
            <w:r>
              <w:rPr>
                <w:rFonts w:ascii="Aptos" w:hAnsi="Aptos"/>
                <w:b w:val="0"/>
                <w:sz w:val="16"/>
              </w:rPr>
              <w:t>SDK</w:t>
            </w:r>
          </w:p>
        </w:tc>
        <w:tc>
          <w:tcPr>
            <w:tcW w:type="dxa" w:w="3456"/>
            <w:vAlign w:val="center"/>
          </w:tcPr>
          <w:p>
            <w:r/>
            <w:r>
              <w:rPr>
                <w:rFonts w:ascii="Aptos" w:hAnsi="Aptos"/>
                <w:b w:val="0"/>
                <w:sz w:val="16"/>
              </w:rPr>
              <w:t>Python</w:t>
            </w:r>
          </w:p>
        </w:tc>
        <w:tc>
          <w:tcPr>
            <w:tcW w:type="dxa" w:w="3456"/>
            <w:vAlign w:val="center"/>
          </w:tcPr>
          <w:p>
            <w:r/>
            <w:r>
              <w:rPr>
                <w:rFonts w:ascii="Aptos" w:hAnsi="Aptos"/>
                <w:b w:val="0"/>
                <w:sz w:val="16"/>
              </w:rPr>
              <w:t>Fastest path for AI developers</w:t>
            </w:r>
          </w:p>
        </w:tc>
      </w:tr>
      <w:tr>
        <w:tc>
          <w:tcPr>
            <w:tcW w:type="dxa" w:w="3456"/>
            <w:vAlign w:val="center"/>
            <w:shd w:fill="F4F7FA"/>
          </w:tcPr>
          <w:p>
            <w:r/>
            <w:r>
              <w:rPr>
                <w:rFonts w:ascii="Aptos" w:hAnsi="Aptos"/>
                <w:b w:val="0"/>
                <w:sz w:val="16"/>
              </w:rPr>
              <w:t>Telemetry</w:t>
            </w:r>
          </w:p>
        </w:tc>
        <w:tc>
          <w:tcPr>
            <w:tcW w:type="dxa" w:w="3456"/>
            <w:vAlign w:val="center"/>
            <w:shd w:fill="F4F7FA"/>
          </w:tcPr>
          <w:p>
            <w:r/>
            <w:r>
              <w:rPr>
                <w:rFonts w:ascii="Aptos" w:hAnsi="Aptos"/>
                <w:b w:val="0"/>
                <w:sz w:val="16"/>
              </w:rPr>
              <w:t>OpenTelemetry</w:t>
            </w:r>
          </w:p>
        </w:tc>
        <w:tc>
          <w:tcPr>
            <w:tcW w:type="dxa" w:w="3456"/>
            <w:vAlign w:val="center"/>
            <w:shd w:fill="F4F7FA"/>
          </w:tcPr>
          <w:p>
            <w:r/>
            <w:r>
              <w:rPr>
                <w:rFonts w:ascii="Aptos" w:hAnsi="Aptos"/>
                <w:b w:val="0"/>
                <w:sz w:val="16"/>
              </w:rPr>
              <w:t>Standards-based and provider-neutral</w:t>
            </w:r>
          </w:p>
        </w:tc>
      </w:tr>
      <w:tr>
        <w:tc>
          <w:tcPr>
            <w:tcW w:type="dxa" w:w="3456"/>
            <w:vAlign w:val="center"/>
          </w:tcPr>
          <w:p>
            <w:r/>
            <w:r>
              <w:rPr>
                <w:rFonts w:ascii="Aptos" w:hAnsi="Aptos"/>
                <w:b w:val="0"/>
                <w:sz w:val="16"/>
              </w:rPr>
              <w:t>API</w:t>
            </w:r>
          </w:p>
        </w:tc>
        <w:tc>
          <w:tcPr>
            <w:tcW w:type="dxa" w:w="3456"/>
            <w:vAlign w:val="center"/>
          </w:tcPr>
          <w:p>
            <w:r/>
            <w:r>
              <w:rPr>
                <w:rFonts w:ascii="Aptos" w:hAnsi="Aptos"/>
                <w:b w:val="0"/>
                <w:sz w:val="16"/>
              </w:rPr>
              <w:t>FastAPI</w:t>
            </w:r>
          </w:p>
        </w:tc>
        <w:tc>
          <w:tcPr>
            <w:tcW w:type="dxa" w:w="3456"/>
            <w:vAlign w:val="center"/>
          </w:tcPr>
          <w:p>
            <w:r/>
            <w:r>
              <w:rPr>
                <w:rFonts w:ascii="Aptos" w:hAnsi="Aptos"/>
                <w:b w:val="0"/>
                <w:sz w:val="16"/>
              </w:rPr>
              <w:t>Fast developer velocity</w:t>
            </w:r>
          </w:p>
        </w:tc>
      </w:tr>
      <w:tr>
        <w:tc>
          <w:tcPr>
            <w:tcW w:type="dxa" w:w="3456"/>
            <w:vAlign w:val="center"/>
            <w:shd w:fill="F4F7FA"/>
          </w:tcPr>
          <w:p>
            <w:r/>
            <w:r>
              <w:rPr>
                <w:rFonts w:ascii="Aptos" w:hAnsi="Aptos"/>
                <w:b w:val="0"/>
                <w:sz w:val="16"/>
              </w:rPr>
              <w:t>Database</w:t>
            </w:r>
          </w:p>
        </w:tc>
        <w:tc>
          <w:tcPr>
            <w:tcW w:type="dxa" w:w="3456"/>
            <w:vAlign w:val="center"/>
            <w:shd w:fill="F4F7FA"/>
          </w:tcPr>
          <w:p>
            <w:r/>
            <w:r>
              <w:rPr>
                <w:rFonts w:ascii="Aptos" w:hAnsi="Aptos"/>
                <w:b w:val="0"/>
                <w:sz w:val="16"/>
              </w:rPr>
              <w:t>PostgreSQL</w:t>
            </w:r>
          </w:p>
        </w:tc>
        <w:tc>
          <w:tcPr>
            <w:tcW w:type="dxa" w:w="3456"/>
            <w:vAlign w:val="center"/>
            <w:shd w:fill="F4F7FA"/>
          </w:tcPr>
          <w:p>
            <w:r/>
            <w:r>
              <w:rPr>
                <w:rFonts w:ascii="Aptos" w:hAnsi="Aptos"/>
                <w:b w:val="0"/>
                <w:sz w:val="16"/>
              </w:rPr>
              <w:t>Simple, familiar, adequate for MVP</w:t>
            </w:r>
          </w:p>
        </w:tc>
      </w:tr>
      <w:tr>
        <w:tc>
          <w:tcPr>
            <w:tcW w:type="dxa" w:w="3456"/>
            <w:vAlign w:val="center"/>
          </w:tcPr>
          <w:p>
            <w:r/>
            <w:r>
              <w:rPr>
                <w:rFonts w:ascii="Aptos" w:hAnsi="Aptos"/>
                <w:b w:val="0"/>
                <w:sz w:val="16"/>
              </w:rPr>
              <w:t>Dashboard</w:t>
            </w:r>
          </w:p>
        </w:tc>
        <w:tc>
          <w:tcPr>
            <w:tcW w:type="dxa" w:w="3456"/>
            <w:vAlign w:val="center"/>
          </w:tcPr>
          <w:p>
            <w:r/>
            <w:r>
              <w:rPr>
                <w:rFonts w:ascii="Aptos" w:hAnsi="Aptos"/>
                <w:b w:val="0"/>
                <w:sz w:val="16"/>
              </w:rPr>
              <w:t>Next.js/React</w:t>
            </w:r>
          </w:p>
        </w:tc>
        <w:tc>
          <w:tcPr>
            <w:tcW w:type="dxa" w:w="3456"/>
            <w:vAlign w:val="center"/>
          </w:tcPr>
          <w:p>
            <w:r/>
            <w:r>
              <w:rPr>
                <w:rFonts w:ascii="Aptos" w:hAnsi="Aptos"/>
                <w:b w:val="0"/>
                <w:sz w:val="16"/>
              </w:rPr>
              <w:t>Strong developer ecosystem</w:t>
            </w:r>
          </w:p>
        </w:tc>
      </w:tr>
      <w:tr>
        <w:tc>
          <w:tcPr>
            <w:tcW w:type="dxa" w:w="3456"/>
            <w:vAlign w:val="center"/>
            <w:shd w:fill="F4F7FA"/>
          </w:tcPr>
          <w:p>
            <w:r/>
            <w:r>
              <w:rPr>
                <w:rFonts w:ascii="Aptos" w:hAnsi="Aptos"/>
                <w:b w:val="0"/>
                <w:sz w:val="16"/>
              </w:rPr>
              <w:t>Charts</w:t>
            </w:r>
          </w:p>
        </w:tc>
        <w:tc>
          <w:tcPr>
            <w:tcW w:type="dxa" w:w="3456"/>
            <w:vAlign w:val="center"/>
            <w:shd w:fill="F4F7FA"/>
          </w:tcPr>
          <w:p>
            <w:r/>
            <w:r>
              <w:rPr>
                <w:rFonts w:ascii="Aptos" w:hAnsi="Aptos"/>
                <w:b w:val="0"/>
                <w:sz w:val="16"/>
              </w:rPr>
              <w:t>Lightweight React chart library</w:t>
            </w:r>
          </w:p>
        </w:tc>
        <w:tc>
          <w:tcPr>
            <w:tcW w:type="dxa" w:w="3456"/>
            <w:vAlign w:val="center"/>
            <w:shd w:fill="F4F7FA"/>
          </w:tcPr>
          <w:p>
            <w:r/>
            <w:r>
              <w:rPr>
                <w:rFonts w:ascii="Aptos" w:hAnsi="Aptos"/>
                <w:b w:val="0"/>
                <w:sz w:val="16"/>
              </w:rPr>
              <w:t>Avoid custom visualization engine</w:t>
            </w:r>
          </w:p>
        </w:tc>
      </w:tr>
      <w:tr>
        <w:tc>
          <w:tcPr>
            <w:tcW w:type="dxa" w:w="3456"/>
            <w:vAlign w:val="center"/>
          </w:tcPr>
          <w:p>
            <w:r/>
            <w:r>
              <w:rPr>
                <w:rFonts w:ascii="Aptos" w:hAnsi="Aptos"/>
                <w:b w:val="0"/>
                <w:sz w:val="16"/>
              </w:rPr>
              <w:t>Demo AI</w:t>
            </w:r>
          </w:p>
        </w:tc>
        <w:tc>
          <w:tcPr>
            <w:tcW w:type="dxa" w:w="3456"/>
            <w:vAlign w:val="center"/>
          </w:tcPr>
          <w:p>
            <w:r/>
            <w:r>
              <w:rPr>
                <w:rFonts w:ascii="Aptos" w:hAnsi="Aptos"/>
                <w:b w:val="0"/>
                <w:sz w:val="16"/>
              </w:rPr>
              <w:t>Gemini Developer API</w:t>
            </w:r>
          </w:p>
        </w:tc>
        <w:tc>
          <w:tcPr>
            <w:tcW w:type="dxa" w:w="3456"/>
            <w:vAlign w:val="center"/>
          </w:tcPr>
          <w:p>
            <w:r/>
            <w:r>
              <w:rPr>
                <w:rFonts w:ascii="Aptos" w:hAnsi="Aptos"/>
                <w:b w:val="0"/>
                <w:sz w:val="16"/>
              </w:rPr>
              <w:t>Direct Google AI story</w:t>
            </w:r>
          </w:p>
        </w:tc>
      </w:tr>
      <w:tr>
        <w:tc>
          <w:tcPr>
            <w:tcW w:type="dxa" w:w="3456"/>
            <w:vAlign w:val="center"/>
            <w:shd w:fill="F4F7FA"/>
          </w:tcPr>
          <w:p>
            <w:r/>
            <w:r>
              <w:rPr>
                <w:rFonts w:ascii="Aptos" w:hAnsi="Aptos"/>
                <w:b w:val="0"/>
                <w:sz w:val="16"/>
              </w:rPr>
              <w:t>Cloud reference</w:t>
            </w:r>
          </w:p>
        </w:tc>
        <w:tc>
          <w:tcPr>
            <w:tcW w:type="dxa" w:w="3456"/>
            <w:vAlign w:val="center"/>
            <w:shd w:fill="F4F7FA"/>
          </w:tcPr>
          <w:p>
            <w:r/>
            <w:r>
              <w:rPr>
                <w:rFonts w:ascii="Aptos" w:hAnsi="Aptos"/>
                <w:b w:val="0"/>
                <w:sz w:val="16"/>
              </w:rPr>
              <w:t>Vertex AI</w:t>
            </w:r>
          </w:p>
        </w:tc>
        <w:tc>
          <w:tcPr>
            <w:tcW w:type="dxa" w:w="3456"/>
            <w:vAlign w:val="center"/>
            <w:shd w:fill="F4F7FA"/>
          </w:tcPr>
          <w:p>
            <w:r/>
            <w:r>
              <w:rPr>
                <w:rFonts w:ascii="Aptos" w:hAnsi="Aptos"/>
                <w:b w:val="0"/>
                <w:sz w:val="16"/>
              </w:rPr>
              <w:t>Enterprise Google Cloud story</w:t>
            </w:r>
          </w:p>
        </w:tc>
      </w:tr>
      <w:tr>
        <w:tc>
          <w:tcPr>
            <w:tcW w:type="dxa" w:w="3456"/>
            <w:vAlign w:val="center"/>
          </w:tcPr>
          <w:p>
            <w:r/>
            <w:r>
              <w:rPr>
                <w:rFonts w:ascii="Aptos" w:hAnsi="Aptos"/>
                <w:b w:val="0"/>
                <w:sz w:val="16"/>
              </w:rPr>
              <w:t>Local packaging</w:t>
            </w:r>
          </w:p>
        </w:tc>
        <w:tc>
          <w:tcPr>
            <w:tcW w:type="dxa" w:w="3456"/>
            <w:vAlign w:val="center"/>
          </w:tcPr>
          <w:p>
            <w:r/>
            <w:r>
              <w:rPr>
                <w:rFonts w:ascii="Aptos" w:hAnsi="Aptos"/>
                <w:b w:val="0"/>
                <w:sz w:val="16"/>
              </w:rPr>
              <w:t>Docker Compose</w:t>
            </w:r>
          </w:p>
        </w:tc>
        <w:tc>
          <w:tcPr>
            <w:tcW w:type="dxa" w:w="3456"/>
            <w:vAlign w:val="center"/>
          </w:tcPr>
          <w:p>
            <w:r/>
            <w:r>
              <w:rPr>
                <w:rFonts w:ascii="Aptos" w:hAnsi="Aptos"/>
                <w:b w:val="0"/>
                <w:sz w:val="16"/>
              </w:rPr>
              <w:t>One-command developer onboarding</w:t>
            </w:r>
          </w:p>
        </w:tc>
      </w:tr>
      <w:tr>
        <w:tc>
          <w:tcPr>
            <w:tcW w:type="dxa" w:w="3456"/>
            <w:vAlign w:val="center"/>
            <w:shd w:fill="F4F7FA"/>
          </w:tcPr>
          <w:p>
            <w:r/>
            <w:r>
              <w:rPr>
                <w:rFonts w:ascii="Aptos" w:hAnsi="Aptos"/>
                <w:b w:val="0"/>
                <w:sz w:val="16"/>
              </w:rPr>
              <w:t>CI</w:t>
            </w:r>
          </w:p>
        </w:tc>
        <w:tc>
          <w:tcPr>
            <w:tcW w:type="dxa" w:w="3456"/>
            <w:vAlign w:val="center"/>
            <w:shd w:fill="F4F7FA"/>
          </w:tcPr>
          <w:p>
            <w:r/>
            <w:r>
              <w:rPr>
                <w:rFonts w:ascii="Aptos" w:hAnsi="Aptos"/>
                <w:b w:val="0"/>
                <w:sz w:val="16"/>
              </w:rPr>
              <w:t>GitHub Actions example</w:t>
            </w:r>
          </w:p>
        </w:tc>
        <w:tc>
          <w:tcPr>
            <w:tcW w:type="dxa" w:w="3456"/>
            <w:vAlign w:val="center"/>
            <w:shd w:fill="F4F7FA"/>
          </w:tcPr>
          <w:p>
            <w:r/>
            <w:r>
              <w:rPr>
                <w:rFonts w:ascii="Aptos" w:hAnsi="Aptos"/>
                <w:b w:val="0"/>
                <w:sz w:val="16"/>
              </w:rPr>
              <w:t>Public developer workflow</w:t>
            </w:r>
          </w:p>
        </w:tc>
      </w:tr>
    </w:tbl>
    <w:p>
      <w:pPr>
        <w:pStyle w:val="Heading1"/>
      </w:pPr>
      <w:r>
        <w:t>23. Seven-Day Build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Day</w:t>
            </w:r>
          </w:p>
        </w:tc>
        <w:tc>
          <w:tcPr>
            <w:tcW w:type="dxa" w:w="3456"/>
            <w:vAlign w:val="center"/>
            <w:shd w:fill="1F4E78"/>
          </w:tcPr>
          <w:p>
            <w:r/>
            <w:r>
              <w:rPr>
                <w:rFonts w:ascii="Aptos" w:hAnsi="Aptos"/>
                <w:b/>
                <w:color w:val="FFFFFF"/>
                <w:sz w:val="16"/>
              </w:rPr>
              <w:t>Build</w:t>
            </w:r>
          </w:p>
        </w:tc>
        <w:tc>
          <w:tcPr>
            <w:tcW w:type="dxa" w:w="3456"/>
            <w:vAlign w:val="center"/>
            <w:shd w:fill="1F4E78"/>
          </w:tcPr>
          <w:p>
            <w:r/>
            <w:r>
              <w:rPr>
                <w:rFonts w:ascii="Aptos" w:hAnsi="Aptos"/>
                <w:b/>
                <w:color w:val="FFFFFF"/>
                <w:sz w:val="16"/>
              </w:rPr>
              <w:t>Definition of done</w:t>
            </w:r>
          </w:p>
        </w:tc>
      </w:tr>
      <w:tr>
        <w:tc>
          <w:tcPr>
            <w:tcW w:type="dxa" w:w="3456"/>
            <w:vAlign w:val="center"/>
          </w:tcPr>
          <w:p>
            <w:r/>
            <w:r>
              <w:rPr>
                <w:rFonts w:ascii="Aptos" w:hAnsi="Aptos"/>
                <w:b w:val="0"/>
                <w:sz w:val="16"/>
              </w:rPr>
              <w:t>1</w:t>
            </w:r>
          </w:p>
        </w:tc>
        <w:tc>
          <w:tcPr>
            <w:tcW w:type="dxa" w:w="3456"/>
            <w:vAlign w:val="center"/>
          </w:tcPr>
          <w:p>
            <w:r/>
            <w:r>
              <w:rPr>
                <w:rFonts w:ascii="Aptos" w:hAnsi="Aptos"/>
                <w:b w:val="0"/>
                <w:sz w:val="16"/>
              </w:rPr>
              <w:t>Repo, architecture, schema, SLO-as-code, prompt rubric, sample dataset</w:t>
            </w:r>
          </w:p>
        </w:tc>
        <w:tc>
          <w:tcPr>
            <w:tcW w:type="dxa" w:w="3456"/>
            <w:vAlign w:val="center"/>
          </w:tcPr>
          <w:p>
            <w:r/>
            <w:r>
              <w:rPr>
                <w:rFonts w:ascii="Aptos" w:hAnsi="Aptos"/>
                <w:b w:val="0"/>
                <w:sz w:val="16"/>
              </w:rPr>
              <w:t>Another engineer can understand and implement the system.</w:t>
            </w:r>
          </w:p>
        </w:tc>
      </w:tr>
      <w:tr>
        <w:tc>
          <w:tcPr>
            <w:tcW w:type="dxa" w:w="3456"/>
            <w:vAlign w:val="center"/>
            <w:shd w:fill="F4F7FA"/>
          </w:tcPr>
          <w:p>
            <w:r/>
            <w:r>
              <w:rPr>
                <w:rFonts w:ascii="Aptos" w:hAnsi="Aptos"/>
                <w:b w:val="0"/>
                <w:sz w:val="16"/>
              </w:rPr>
              <w:t>2</w:t>
            </w:r>
          </w:p>
        </w:tc>
        <w:tc>
          <w:tcPr>
            <w:tcW w:type="dxa" w:w="3456"/>
            <w:vAlign w:val="center"/>
            <w:shd w:fill="F4F7FA"/>
          </w:tcPr>
          <w:p>
            <w:r/>
            <w:r>
              <w:rPr>
                <w:rFonts w:ascii="Aptos" w:hAnsi="Aptos"/>
                <w:b w:val="0"/>
                <w:sz w:val="16"/>
              </w:rPr>
              <w:t>Python SDK + Gemini adapter + OTel + ingest API</w:t>
            </w:r>
          </w:p>
        </w:tc>
        <w:tc>
          <w:tcPr>
            <w:tcW w:type="dxa" w:w="3456"/>
            <w:vAlign w:val="center"/>
            <w:shd w:fill="F4F7FA"/>
          </w:tcPr>
          <w:p>
            <w:r/>
            <w:r>
              <w:rPr>
                <w:rFonts w:ascii="Aptos" w:hAnsi="Aptos"/>
                <w:b w:val="0"/>
                <w:sz w:val="16"/>
              </w:rPr>
              <w:t>Real Gemini call appears as normalized transaction.</w:t>
            </w:r>
          </w:p>
        </w:tc>
      </w:tr>
      <w:tr>
        <w:tc>
          <w:tcPr>
            <w:tcW w:type="dxa" w:w="3456"/>
            <w:vAlign w:val="center"/>
          </w:tcPr>
          <w:p>
            <w:r/>
            <w:r>
              <w:rPr>
                <w:rFonts w:ascii="Aptos" w:hAnsi="Aptos"/>
                <w:b w:val="0"/>
                <w:sz w:val="16"/>
              </w:rPr>
              <w:t>3</w:t>
            </w:r>
          </w:p>
        </w:tc>
        <w:tc>
          <w:tcPr>
            <w:tcW w:type="dxa" w:w="3456"/>
            <w:vAlign w:val="center"/>
          </w:tcPr>
          <w:p>
            <w:r/>
            <w:r>
              <w:rPr>
                <w:rFonts w:ascii="Aptos" w:hAnsi="Aptos"/>
                <w:b w:val="0"/>
                <w:sz w:val="16"/>
              </w:rPr>
              <w:t>Efficiency envelope + deterministic prompt quality + grounding evaluation hooks</w:t>
            </w:r>
          </w:p>
        </w:tc>
        <w:tc>
          <w:tcPr>
            <w:tcW w:type="dxa" w:w="3456"/>
            <w:vAlign w:val="center"/>
          </w:tcPr>
          <w:p>
            <w:r/>
            <w:r>
              <w:rPr>
                <w:rFonts w:ascii="Aptos" w:hAnsi="Aptos"/>
                <w:b w:val="0"/>
                <w:sz w:val="16"/>
              </w:rPr>
              <w:t>Developer gets explainable diagnostics.</w:t>
            </w:r>
          </w:p>
        </w:tc>
      </w:tr>
      <w:tr>
        <w:tc>
          <w:tcPr>
            <w:tcW w:type="dxa" w:w="3456"/>
            <w:vAlign w:val="center"/>
            <w:shd w:fill="F4F7FA"/>
          </w:tcPr>
          <w:p>
            <w:r/>
            <w:r>
              <w:rPr>
                <w:rFonts w:ascii="Aptos" w:hAnsi="Aptos"/>
                <w:b w:val="0"/>
                <w:sz w:val="16"/>
              </w:rPr>
              <w:t>4</w:t>
            </w:r>
          </w:p>
        </w:tc>
        <w:tc>
          <w:tcPr>
            <w:tcW w:type="dxa" w:w="3456"/>
            <w:vAlign w:val="center"/>
            <w:shd w:fill="F4F7FA"/>
          </w:tcPr>
          <w:p>
            <w:r/>
            <w:r>
              <w:rPr>
                <w:rFonts w:ascii="Aptos" w:hAnsi="Aptos"/>
                <w:b w:val="0"/>
                <w:sz w:val="16"/>
              </w:rPr>
              <w:t>SLO/error-budget/burn engine + PostgreSQL aggregates</w:t>
            </w:r>
          </w:p>
        </w:tc>
        <w:tc>
          <w:tcPr>
            <w:tcW w:type="dxa" w:w="3456"/>
            <w:vAlign w:val="center"/>
            <w:shd w:fill="F4F7FA"/>
          </w:tcPr>
          <w:p>
            <w:r/>
            <w:r>
              <w:rPr>
                <w:rFonts w:ascii="Aptos" w:hAnsi="Aptos"/>
                <w:b w:val="0"/>
                <w:sz w:val="16"/>
              </w:rPr>
              <w:t>Six independent SLO states computed.</w:t>
            </w:r>
          </w:p>
        </w:tc>
      </w:tr>
      <w:tr>
        <w:tc>
          <w:tcPr>
            <w:tcW w:type="dxa" w:w="3456"/>
            <w:vAlign w:val="center"/>
          </w:tcPr>
          <w:p>
            <w:r/>
            <w:r>
              <w:rPr>
                <w:rFonts w:ascii="Aptos" w:hAnsi="Aptos"/>
                <w:b w:val="0"/>
                <w:sz w:val="16"/>
              </w:rPr>
              <w:t>5</w:t>
            </w:r>
          </w:p>
        </w:tc>
        <w:tc>
          <w:tcPr>
            <w:tcW w:type="dxa" w:w="3456"/>
            <w:vAlign w:val="center"/>
          </w:tcPr>
          <w:p>
            <w:r/>
            <w:r>
              <w:rPr>
                <w:rFonts w:ascii="Aptos" w:hAnsi="Aptos"/>
                <w:b w:val="0"/>
                <w:sz w:val="16"/>
              </w:rPr>
              <w:t>Dashboard: service overview, trace detail, prompt quality</w:t>
            </w:r>
          </w:p>
        </w:tc>
        <w:tc>
          <w:tcPr>
            <w:tcW w:type="dxa" w:w="3456"/>
            <w:vAlign w:val="center"/>
          </w:tcPr>
          <w:p>
            <w:r/>
            <w:r>
              <w:rPr>
                <w:rFonts w:ascii="Aptos" w:hAnsi="Aptos"/>
                <w:b w:val="0"/>
                <w:sz w:val="16"/>
              </w:rPr>
              <w:t>Violation -&gt; trace -&gt; explanation works.</w:t>
            </w:r>
          </w:p>
        </w:tc>
      </w:tr>
      <w:tr>
        <w:tc>
          <w:tcPr>
            <w:tcW w:type="dxa" w:w="3456"/>
            <w:vAlign w:val="center"/>
            <w:shd w:fill="F4F7FA"/>
          </w:tcPr>
          <w:p>
            <w:r/>
            <w:r>
              <w:rPr>
                <w:rFonts w:ascii="Aptos" w:hAnsi="Aptos"/>
                <w:b w:val="0"/>
                <w:sz w:val="16"/>
              </w:rPr>
              <w:t>6</w:t>
            </w:r>
          </w:p>
        </w:tc>
        <w:tc>
          <w:tcPr>
            <w:tcW w:type="dxa" w:w="3456"/>
            <w:vAlign w:val="center"/>
            <w:shd w:fill="F4F7FA"/>
          </w:tcPr>
          <w:p>
            <w:r/>
            <w:r>
              <w:rPr>
                <w:rFonts w:ascii="Aptos" w:hAnsi="Aptos"/>
                <w:b w:val="0"/>
                <w:sz w:val="16"/>
              </w:rPr>
              <w:t>Vertex AI example + CI regression gate + tests + Docker Compose</w:t>
            </w:r>
          </w:p>
        </w:tc>
        <w:tc>
          <w:tcPr>
            <w:tcW w:type="dxa" w:w="3456"/>
            <w:vAlign w:val="center"/>
            <w:shd w:fill="F4F7FA"/>
          </w:tcPr>
          <w:p>
            <w:r/>
            <w:r>
              <w:rPr>
                <w:rFonts w:ascii="Aptos" w:hAnsi="Aptos"/>
                <w:b w:val="0"/>
                <w:sz w:val="16"/>
              </w:rPr>
              <w:t>Fresh clone reproduces demo.</w:t>
            </w:r>
          </w:p>
        </w:tc>
      </w:tr>
      <w:tr>
        <w:tc>
          <w:tcPr>
            <w:tcW w:type="dxa" w:w="3456"/>
            <w:vAlign w:val="center"/>
          </w:tcPr>
          <w:p>
            <w:r/>
            <w:r>
              <w:rPr>
                <w:rFonts w:ascii="Aptos" w:hAnsi="Aptos"/>
                <w:b w:val="0"/>
                <w:sz w:val="16"/>
              </w:rPr>
              <w:t>7</w:t>
            </w:r>
          </w:p>
        </w:tc>
        <w:tc>
          <w:tcPr>
            <w:tcW w:type="dxa" w:w="3456"/>
            <w:vAlign w:val="center"/>
          </w:tcPr>
          <w:p>
            <w:r/>
            <w:r>
              <w:rPr>
                <w:rFonts w:ascii="Aptos" w:hAnsi="Aptos"/>
                <w:b w:val="0"/>
                <w:sz w:val="16"/>
              </w:rPr>
              <w:t>v0.1 release, README, article, demo video, talk deck</w:t>
            </w:r>
          </w:p>
        </w:tc>
        <w:tc>
          <w:tcPr>
            <w:tcW w:type="dxa" w:w="3456"/>
            <w:vAlign w:val="center"/>
          </w:tcPr>
          <w:p>
            <w:r/>
            <w:r>
              <w:rPr>
                <w:rFonts w:ascii="Aptos" w:hAnsi="Aptos"/>
                <w:b w:val="0"/>
                <w:sz w:val="16"/>
              </w:rPr>
              <w:t>Public artifact is teachable and shareable.</w:t>
            </w:r>
          </w:p>
        </w:tc>
      </w:tr>
    </w:tbl>
    <w:p>
      <w:pPr>
        <w:pStyle w:val="Heading1"/>
      </w:pPr>
      <w:r>
        <w:t>24. GDE Evidence Packaging</w:t>
      </w:r>
    </w:p>
    <w:p>
      <w:r>
        <w:t>The public project should deliberately create evidence in the categories Google describes: expertise in Google technology, significant community contribution, and ability to explain/advise clearly.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rFonts w:ascii="Aptos" w:hAnsi="Aptos"/>
                <w:b/>
                <w:color w:val="FFFFFF"/>
                <w:sz w:val="16"/>
              </w:rPr>
              <w:t>Evidence</w:t>
            </w:r>
          </w:p>
        </w:tc>
        <w:tc>
          <w:tcPr>
            <w:tcW w:type="dxa" w:w="5184"/>
            <w:vAlign w:val="center"/>
            <w:shd w:fill="1F4E78"/>
          </w:tcPr>
          <w:p>
            <w:r/>
            <w:r>
              <w:rPr>
                <w:rFonts w:ascii="Aptos" w:hAnsi="Aptos"/>
                <w:b/>
                <w:color w:val="FFFFFF"/>
                <w:sz w:val="16"/>
              </w:rPr>
              <w:t>Artifact</w:t>
            </w:r>
          </w:p>
        </w:tc>
      </w:tr>
      <w:tr>
        <w:tc>
          <w:tcPr>
            <w:tcW w:type="dxa" w:w="5184"/>
            <w:vAlign w:val="center"/>
          </w:tcPr>
          <w:p>
            <w:r/>
            <w:r>
              <w:rPr>
                <w:rFonts w:ascii="Aptos" w:hAnsi="Aptos"/>
                <w:b w:val="0"/>
                <w:sz w:val="16"/>
              </w:rPr>
              <w:t>Google AI expertise</w:t>
            </w:r>
          </w:p>
        </w:tc>
        <w:tc>
          <w:tcPr>
            <w:tcW w:type="dxa" w:w="5184"/>
            <w:vAlign w:val="center"/>
          </w:tcPr>
          <w:p>
            <w:r/>
            <w:r>
              <w:rPr>
                <w:rFonts w:ascii="Aptos" w:hAnsi="Aptos"/>
                <w:b w:val="0"/>
                <w:sz w:val="16"/>
              </w:rPr>
              <w:t>Gemini adapter + Vertex AI reference + technical explanation</w:t>
            </w:r>
          </w:p>
        </w:tc>
      </w:tr>
      <w:tr>
        <w:tc>
          <w:tcPr>
            <w:tcW w:type="dxa" w:w="5184"/>
            <w:vAlign w:val="center"/>
            <w:shd w:fill="F4F7FA"/>
          </w:tcPr>
          <w:p>
            <w:r/>
            <w:r>
              <w:rPr>
                <w:rFonts w:ascii="Aptos" w:hAnsi="Aptos"/>
                <w:b w:val="0"/>
                <w:sz w:val="16"/>
              </w:rPr>
              <w:t>Open-source contribution</w:t>
            </w:r>
          </w:p>
        </w:tc>
        <w:tc>
          <w:tcPr>
            <w:tcW w:type="dxa" w:w="5184"/>
            <w:vAlign w:val="center"/>
            <w:shd w:fill="F4F7FA"/>
          </w:tcPr>
          <w:p>
            <w:r/>
            <w:r>
              <w:rPr>
                <w:rFonts w:ascii="Aptos" w:hAnsi="Aptos"/>
                <w:b w:val="0"/>
                <w:sz w:val="16"/>
              </w:rPr>
              <w:t>Public repository and v0.1 release</w:t>
            </w:r>
          </w:p>
        </w:tc>
      </w:tr>
      <w:tr>
        <w:tc>
          <w:tcPr>
            <w:tcW w:type="dxa" w:w="5184"/>
            <w:vAlign w:val="center"/>
          </w:tcPr>
          <w:p>
            <w:r/>
            <w:r>
              <w:rPr>
                <w:rFonts w:ascii="Aptos" w:hAnsi="Aptos"/>
                <w:b w:val="0"/>
                <w:sz w:val="16"/>
              </w:rPr>
              <w:t>Teaching</w:t>
            </w:r>
          </w:p>
        </w:tc>
        <w:tc>
          <w:tcPr>
            <w:tcW w:type="dxa" w:w="5184"/>
            <w:vAlign w:val="center"/>
          </w:tcPr>
          <w:p>
            <w:r/>
            <w:r>
              <w:rPr>
                <w:rFonts w:ascii="Aptos" w:hAnsi="Aptos"/>
                <w:b w:val="0"/>
                <w:sz w:val="16"/>
              </w:rPr>
              <w:t>5-minute quick start + deep tutorial</w:t>
            </w:r>
          </w:p>
        </w:tc>
      </w:tr>
      <w:tr>
        <w:tc>
          <w:tcPr>
            <w:tcW w:type="dxa" w:w="5184"/>
            <w:vAlign w:val="center"/>
            <w:shd w:fill="F4F7FA"/>
          </w:tcPr>
          <w:p>
            <w:r/>
            <w:r>
              <w:rPr>
                <w:rFonts w:ascii="Aptos" w:hAnsi="Aptos"/>
                <w:b w:val="0"/>
                <w:sz w:val="16"/>
              </w:rPr>
              <w:t>Publishing</w:t>
            </w:r>
          </w:p>
        </w:tc>
        <w:tc>
          <w:tcPr>
            <w:tcW w:type="dxa" w:w="5184"/>
            <w:vAlign w:val="center"/>
            <w:shd w:fill="F4F7FA"/>
          </w:tcPr>
          <w:p>
            <w:r/>
            <w:r>
              <w:rPr>
                <w:rFonts w:ascii="Aptos" w:hAnsi="Aptos"/>
                <w:b w:val="0"/>
                <w:sz w:val="16"/>
              </w:rPr>
              <w:t>Article: Applying SRE SLOs and Error Budgets to Production AI</w:t>
            </w:r>
          </w:p>
        </w:tc>
      </w:tr>
      <w:tr>
        <w:tc>
          <w:tcPr>
            <w:tcW w:type="dxa" w:w="5184"/>
            <w:vAlign w:val="center"/>
          </w:tcPr>
          <w:p>
            <w:r/>
            <w:r>
              <w:rPr>
                <w:rFonts w:ascii="Aptos" w:hAnsi="Aptos"/>
                <w:b w:val="0"/>
                <w:sz w:val="16"/>
              </w:rPr>
              <w:t>Speaking</w:t>
            </w:r>
          </w:p>
        </w:tc>
        <w:tc>
          <w:tcPr>
            <w:tcW w:type="dxa" w:w="5184"/>
            <w:vAlign w:val="center"/>
          </w:tcPr>
          <w:p>
            <w:r/>
            <w:r>
              <w:rPr>
                <w:rFonts w:ascii="Aptos" w:hAnsi="Aptos"/>
                <w:b w:val="0"/>
                <w:sz w:val="16"/>
              </w:rPr>
              <w:t>25-30 minute talk: Beyond Model Accuracy: Reliability Engineering for Production AI</w:t>
            </w:r>
          </w:p>
        </w:tc>
      </w:tr>
      <w:tr>
        <w:tc>
          <w:tcPr>
            <w:tcW w:type="dxa" w:w="5184"/>
            <w:vAlign w:val="center"/>
            <w:shd w:fill="F4F7FA"/>
          </w:tcPr>
          <w:p>
            <w:r/>
            <w:r>
              <w:rPr>
                <w:rFonts w:ascii="Aptos" w:hAnsi="Aptos"/>
                <w:b w:val="0"/>
                <w:sz w:val="16"/>
              </w:rPr>
              <w:t>Mentoring/community</w:t>
            </w:r>
          </w:p>
        </w:tc>
        <w:tc>
          <w:tcPr>
            <w:tcW w:type="dxa" w:w="5184"/>
            <w:vAlign w:val="center"/>
            <w:shd w:fill="F4F7FA"/>
          </w:tcPr>
          <w:p>
            <w:r/>
            <w:r>
              <w:rPr>
                <w:rFonts w:ascii="Aptos" w:hAnsi="Aptos"/>
                <w:b w:val="0"/>
                <w:sz w:val="16"/>
              </w:rPr>
              <w:t>Issues, Q&amp;A, GDG session, developer feedback</w:t>
            </w:r>
          </w:p>
        </w:tc>
      </w:tr>
      <w:tr>
        <w:tc>
          <w:tcPr>
            <w:tcW w:type="dxa" w:w="5184"/>
            <w:vAlign w:val="center"/>
          </w:tcPr>
          <w:p>
            <w:r/>
            <w:r>
              <w:rPr>
                <w:rFonts w:ascii="Aptos" w:hAnsi="Aptos"/>
                <w:b w:val="0"/>
                <w:sz w:val="16"/>
              </w:rPr>
              <w:t>Technical depth</w:t>
            </w:r>
          </w:p>
        </w:tc>
        <w:tc>
          <w:tcPr>
            <w:tcW w:type="dxa" w:w="5184"/>
            <w:vAlign w:val="center"/>
          </w:tcPr>
          <w:p>
            <w:r/>
            <w:r>
              <w:rPr>
                <w:rFonts w:ascii="Aptos" w:hAnsi="Aptos"/>
                <w:b w:val="0"/>
                <w:sz w:val="16"/>
              </w:rPr>
              <w:t>OpenTelemetry, SLO engine, prompt diagnostics, efficiency envelopes</w:t>
            </w:r>
          </w:p>
        </w:tc>
      </w:tr>
    </w:tbl>
    <w:p>
      <w:r>
        <w:t>Do not present the project as an official Google project or imply GDE endorsement. It is an independent open-source project using Google technologies.</w:t>
      </w:r>
    </w:p>
    <w:p>
      <w:pPr>
        <w:pStyle w:val="Heading1"/>
      </w:pPr>
      <w:r>
        <w:t>25. Commercial Product Roadmap</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rFonts w:ascii="Aptos" w:hAnsi="Aptos"/>
                <w:b/>
                <w:color w:val="FFFFFF"/>
                <w:sz w:val="16"/>
              </w:rPr>
              <w:t>Phase</w:t>
            </w:r>
          </w:p>
        </w:tc>
        <w:tc>
          <w:tcPr>
            <w:tcW w:type="dxa" w:w="5184"/>
            <w:vAlign w:val="center"/>
            <w:shd w:fill="1F4E78"/>
          </w:tcPr>
          <w:p>
            <w:r/>
            <w:r>
              <w:rPr>
                <w:rFonts w:ascii="Aptos" w:hAnsi="Aptos"/>
                <w:b/>
                <w:color w:val="FFFFFF"/>
                <w:sz w:val="16"/>
              </w:rPr>
              <w:t>Capabilities</w:t>
            </w:r>
          </w:p>
        </w:tc>
      </w:tr>
      <w:tr>
        <w:tc>
          <w:tcPr>
            <w:tcW w:type="dxa" w:w="5184"/>
            <w:vAlign w:val="center"/>
          </w:tcPr>
          <w:p>
            <w:r/>
            <w:r>
              <w:rPr>
                <w:rFonts w:ascii="Aptos" w:hAnsi="Aptos"/>
                <w:b w:val="0"/>
                <w:sz w:val="16"/>
              </w:rPr>
              <w:t>Product v0.2</w:t>
            </w:r>
          </w:p>
        </w:tc>
        <w:tc>
          <w:tcPr>
            <w:tcW w:type="dxa" w:w="5184"/>
            <w:vAlign w:val="center"/>
          </w:tcPr>
          <w:p>
            <w:r/>
            <w:r>
              <w:rPr>
                <w:rFonts w:ascii="Aptos" w:hAnsi="Aptos"/>
                <w:b w:val="0"/>
                <w:sz w:val="16"/>
              </w:rPr>
              <w:t>TypeScript SDK, more provider adapters, prompt-version analytics, better regression datasets</w:t>
            </w:r>
          </w:p>
        </w:tc>
      </w:tr>
      <w:tr>
        <w:tc>
          <w:tcPr>
            <w:tcW w:type="dxa" w:w="5184"/>
            <w:vAlign w:val="center"/>
            <w:shd w:fill="F4F7FA"/>
          </w:tcPr>
          <w:p>
            <w:r/>
            <w:r>
              <w:rPr>
                <w:rFonts w:ascii="Aptos" w:hAnsi="Aptos"/>
                <w:b w:val="0"/>
                <w:sz w:val="16"/>
              </w:rPr>
              <w:t>Product v0.5</w:t>
            </w:r>
          </w:p>
        </w:tc>
        <w:tc>
          <w:tcPr>
            <w:tcW w:type="dxa" w:w="5184"/>
            <w:vAlign w:val="center"/>
            <w:shd w:fill="F4F7FA"/>
          </w:tcPr>
          <w:p>
            <w:r/>
            <w:r>
              <w:rPr>
                <w:rFonts w:ascii="Aptos" w:hAnsi="Aptos"/>
                <w:b w:val="0"/>
                <w:sz w:val="16"/>
              </w:rPr>
              <w:t>Hosted control plane, projects/teams, API keys, managed storage, alert integrations</w:t>
            </w:r>
          </w:p>
        </w:tc>
      </w:tr>
      <w:tr>
        <w:tc>
          <w:tcPr>
            <w:tcW w:type="dxa" w:w="5184"/>
            <w:vAlign w:val="center"/>
          </w:tcPr>
          <w:p>
            <w:r/>
            <w:r>
              <w:rPr>
                <w:rFonts w:ascii="Aptos" w:hAnsi="Aptos"/>
                <w:b w:val="0"/>
                <w:sz w:val="16"/>
              </w:rPr>
              <w:t>Product v1.0</w:t>
            </w:r>
          </w:p>
        </w:tc>
        <w:tc>
          <w:tcPr>
            <w:tcW w:type="dxa" w:w="5184"/>
            <w:vAlign w:val="center"/>
          </w:tcPr>
          <w:p>
            <w:r/>
            <w:r>
              <w:rPr>
                <w:rFonts w:ascii="Aptos" w:hAnsi="Aptos"/>
                <w:b w:val="0"/>
                <w:sz w:val="16"/>
              </w:rPr>
              <w:t>Multi-tenant SaaS, RBAC/SSO, estate view, policies, audit, enterprise retention</w:t>
            </w:r>
          </w:p>
        </w:tc>
      </w:tr>
      <w:tr>
        <w:tc>
          <w:tcPr>
            <w:tcW w:type="dxa" w:w="5184"/>
            <w:vAlign w:val="center"/>
            <w:shd w:fill="F4F7FA"/>
          </w:tcPr>
          <w:p>
            <w:r/>
            <w:r>
              <w:rPr>
                <w:rFonts w:ascii="Aptos" w:hAnsi="Aptos"/>
                <w:b w:val="0"/>
                <w:sz w:val="16"/>
              </w:rPr>
              <w:t>Advanced</w:t>
            </w:r>
          </w:p>
        </w:tc>
        <w:tc>
          <w:tcPr>
            <w:tcW w:type="dxa" w:w="5184"/>
            <w:vAlign w:val="center"/>
            <w:shd w:fill="F4F7FA"/>
          </w:tcPr>
          <w:p>
            <w:r/>
            <w:r>
              <w:rPr>
                <w:rFonts w:ascii="Aptos" w:hAnsi="Aptos"/>
                <w:b w:val="0"/>
                <w:sz w:val="16"/>
              </w:rPr>
              <w:t>Runtime reliability control, routing/fallback, adaptive envelopes, deeper work-amplification attribution</w:t>
            </w:r>
          </w:p>
        </w:tc>
      </w:tr>
    </w:tbl>
    <w:p>
      <w:pPr>
        <w:pStyle w:val="Heading2"/>
      </w:pPr>
      <w:r>
        <w:t>25.1 Product packaging</w:t>
      </w:r>
    </w:p>
    <w:p>
      <w:pPr>
        <w:pStyle w:val="ListBullet"/>
        <w:spacing w:after="40"/>
      </w:pPr>
      <w:r>
        <w:t>Open-source Core: SDK, schemas, local SLO engine, local dashboard.</w:t>
      </w:r>
    </w:p>
    <w:p>
      <w:pPr>
        <w:pStyle w:val="ListBullet"/>
        <w:spacing w:after="40"/>
      </w:pPr>
      <w:r>
        <w:t>Cloud Developer: hosted telemetry, history, collaboration, CI integrations.</w:t>
      </w:r>
    </w:p>
    <w:p>
      <w:pPr>
        <w:pStyle w:val="ListBullet"/>
        <w:spacing w:after="40"/>
      </w:pPr>
      <w:r>
        <w:t>Enterprise: SSO/RBAC, data residency, private deployment, policy controls, estate analytics.</w:t>
      </w:r>
    </w:p>
    <w:p>
      <w:pPr>
        <w:pStyle w:val="ListBullet"/>
        <w:spacing w:after="40"/>
      </w:pPr>
      <w:r>
        <w:t>Optional Managed Evaluation: metered evaluator service with strict privacy controls.</w:t>
      </w:r>
    </w:p>
    <w:p>
      <w:pPr>
        <w:pStyle w:val="Heading1"/>
      </w:pPr>
      <w:r>
        <w:t>26. IP Boundary for Public MVP</w:t>
      </w:r>
    </w:p>
    <w:p>
      <w:r>
        <w:t>Because you are considering patent protection, keep the public MVP focused on known/open concepts plus your implementation. Before publicly disclosing detailed algorithms for intent-derived multidimensional envelopes, work-amplification attribution, or automated runtime remediation, obtain patent counsel review if those mechanisms remain filing candidates.</w:t>
      </w:r>
    </w:p>
    <w:p>
      <w:pPr>
        <w:pStyle w:val="ListBullet"/>
        <w:spacing w:after="40"/>
      </w:pPr>
      <w:r>
        <w:t>Safe to demonstrate publicly: provider-neutral telemetry, six SLO dimensions, basic intent-configured envelopes, prompt-quality rubric, error budgets, dashboard.</w:t>
      </w:r>
    </w:p>
    <w:p>
      <w:pPr>
        <w:pStyle w:val="ListBullet"/>
        <w:spacing w:after="40"/>
      </w:pPr>
      <w:r>
        <w:t>Consider holding back pending IP review: novel automatic envelope derivation, proprietary amplification-attribution algorithm, closed-loop runtime remediation logic.</w:t>
      </w:r>
    </w:p>
    <w:p>
      <w:r>
        <w:t>This section is product-planning guidance, not legal advice.</w:t>
      </w:r>
    </w:p>
    <w:p>
      <w:pPr>
        <w:pStyle w:val="Heading1"/>
      </w:pPr>
      <w:r>
        <w:t>27. Acceptance Test Matrix</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rFonts w:ascii="Aptos" w:hAnsi="Aptos"/>
                <w:b/>
                <w:color w:val="FFFFFF"/>
                <w:sz w:val="16"/>
              </w:rPr>
              <w:t>Test</w:t>
            </w:r>
          </w:p>
        </w:tc>
        <w:tc>
          <w:tcPr>
            <w:tcW w:type="dxa" w:w="5184"/>
            <w:vAlign w:val="center"/>
            <w:shd w:fill="1F4E78"/>
          </w:tcPr>
          <w:p>
            <w:r/>
            <w:r>
              <w:rPr>
                <w:rFonts w:ascii="Aptos" w:hAnsi="Aptos"/>
                <w:b/>
                <w:color w:val="FFFFFF"/>
                <w:sz w:val="16"/>
              </w:rPr>
              <w:t>Expected result</w:t>
            </w:r>
          </w:p>
        </w:tc>
      </w:tr>
      <w:tr>
        <w:tc>
          <w:tcPr>
            <w:tcW w:type="dxa" w:w="5184"/>
            <w:vAlign w:val="center"/>
          </w:tcPr>
          <w:p>
            <w:r/>
            <w:r>
              <w:rPr>
                <w:rFonts w:ascii="Aptos" w:hAnsi="Aptos"/>
                <w:b w:val="0"/>
                <w:sz w:val="16"/>
              </w:rPr>
              <w:t>Gemini success</w:t>
            </w:r>
          </w:p>
        </w:tc>
        <w:tc>
          <w:tcPr>
            <w:tcW w:type="dxa" w:w="5184"/>
            <w:vAlign w:val="center"/>
          </w:tcPr>
          <w:p>
            <w:r/>
            <w:r>
              <w:rPr>
                <w:rFonts w:ascii="Aptos" w:hAnsi="Aptos"/>
                <w:b w:val="0"/>
                <w:sz w:val="16"/>
              </w:rPr>
              <w:t>Transaction + tokens + latency recorded; app response unaffected.</w:t>
            </w:r>
          </w:p>
        </w:tc>
      </w:tr>
      <w:tr>
        <w:tc>
          <w:tcPr>
            <w:tcW w:type="dxa" w:w="5184"/>
            <w:vAlign w:val="center"/>
            <w:shd w:fill="F4F7FA"/>
          </w:tcPr>
          <w:p>
            <w:r/>
            <w:r>
              <w:rPr>
                <w:rFonts w:ascii="Aptos" w:hAnsi="Aptos"/>
                <w:b w:val="0"/>
                <w:sz w:val="16"/>
              </w:rPr>
              <w:t>Gemini failure</w:t>
            </w:r>
          </w:p>
        </w:tc>
        <w:tc>
          <w:tcPr>
            <w:tcW w:type="dxa" w:w="5184"/>
            <w:vAlign w:val="center"/>
            <w:shd w:fill="F4F7FA"/>
          </w:tcPr>
          <w:p>
            <w:r/>
            <w:r>
              <w:rPr>
                <w:rFonts w:ascii="Aptos" w:hAnsi="Aptos"/>
                <w:b w:val="0"/>
                <w:sz w:val="16"/>
              </w:rPr>
              <w:t>Failure captured; SDK fails open unless explicitly configured otherwise.</w:t>
            </w:r>
          </w:p>
        </w:tc>
      </w:tr>
      <w:tr>
        <w:tc>
          <w:tcPr>
            <w:tcW w:type="dxa" w:w="5184"/>
            <w:vAlign w:val="center"/>
          </w:tcPr>
          <w:p>
            <w:r/>
            <w:r>
              <w:rPr>
                <w:rFonts w:ascii="Aptos" w:hAnsi="Aptos"/>
                <w:b w:val="0"/>
                <w:sz w:val="16"/>
              </w:rPr>
              <w:t>Vertex success</w:t>
            </w:r>
          </w:p>
        </w:tc>
        <w:tc>
          <w:tcPr>
            <w:tcW w:type="dxa" w:w="5184"/>
            <w:vAlign w:val="center"/>
          </w:tcPr>
          <w:p>
            <w:r/>
            <w:r>
              <w:rPr>
                <w:rFonts w:ascii="Aptos" w:hAnsi="Aptos"/>
                <w:b w:val="0"/>
                <w:sz w:val="16"/>
              </w:rPr>
              <w:t>Normalized schema matches Gemini path.</w:t>
            </w:r>
          </w:p>
        </w:tc>
      </w:tr>
      <w:tr>
        <w:tc>
          <w:tcPr>
            <w:tcW w:type="dxa" w:w="5184"/>
            <w:vAlign w:val="center"/>
            <w:shd w:fill="F4F7FA"/>
          </w:tcPr>
          <w:p>
            <w:r/>
            <w:r>
              <w:rPr>
                <w:rFonts w:ascii="Aptos" w:hAnsi="Aptos"/>
                <w:b w:val="0"/>
                <w:sz w:val="16"/>
              </w:rPr>
              <w:t>Prompt weak grounding</w:t>
            </w:r>
          </w:p>
        </w:tc>
        <w:tc>
          <w:tcPr>
            <w:tcW w:type="dxa" w:w="5184"/>
            <w:vAlign w:val="center"/>
            <w:shd w:fill="F4F7FA"/>
          </w:tcPr>
          <w:p>
            <w:r/>
            <w:r>
              <w:rPr>
                <w:rFonts w:ascii="Aptos" w:hAnsi="Aptos"/>
                <w:b w:val="0"/>
                <w:sz w:val="16"/>
              </w:rPr>
              <w:t>Prompt diagnostic flags grounding/context risk with explanation.</w:t>
            </w:r>
          </w:p>
        </w:tc>
      </w:tr>
      <w:tr>
        <w:tc>
          <w:tcPr>
            <w:tcW w:type="dxa" w:w="5184"/>
            <w:vAlign w:val="center"/>
          </w:tcPr>
          <w:p>
            <w:r/>
            <w:r>
              <w:rPr>
                <w:rFonts w:ascii="Aptos" w:hAnsi="Aptos"/>
                <w:b w:val="0"/>
                <w:sz w:val="16"/>
              </w:rPr>
              <w:t>Prompt strong grounding</w:t>
            </w:r>
          </w:p>
        </w:tc>
        <w:tc>
          <w:tcPr>
            <w:tcW w:type="dxa" w:w="5184"/>
            <w:vAlign w:val="center"/>
          </w:tcPr>
          <w:p>
            <w:r/>
            <w:r>
              <w:rPr>
                <w:rFonts w:ascii="Aptos" w:hAnsi="Aptos"/>
                <w:b w:val="0"/>
                <w:sz w:val="16"/>
              </w:rPr>
              <w:t>No false critical warning from simple deterministic rules.</w:t>
            </w:r>
          </w:p>
        </w:tc>
      </w:tr>
      <w:tr>
        <w:tc>
          <w:tcPr>
            <w:tcW w:type="dxa" w:w="5184"/>
            <w:vAlign w:val="center"/>
            <w:shd w:fill="F4F7FA"/>
          </w:tcPr>
          <w:p>
            <w:r/>
            <w:r>
              <w:rPr>
                <w:rFonts w:ascii="Aptos" w:hAnsi="Aptos"/>
                <w:b w:val="0"/>
                <w:sz w:val="16"/>
              </w:rPr>
              <w:t>Efficiency breach</w:t>
            </w:r>
          </w:p>
        </w:tc>
        <w:tc>
          <w:tcPr>
            <w:tcW w:type="dxa" w:w="5184"/>
            <w:vAlign w:val="center"/>
            <w:shd w:fill="F4F7FA"/>
          </w:tcPr>
          <w:p>
            <w:r/>
            <w:r>
              <w:rPr>
                <w:rFonts w:ascii="Aptos" w:hAnsi="Aptos"/>
                <w:b w:val="0"/>
                <w:sz w:val="16"/>
              </w:rPr>
              <w:t>Transaction marked outside envelope with breached dimensions.</w:t>
            </w:r>
          </w:p>
        </w:tc>
      </w:tr>
      <w:tr>
        <w:tc>
          <w:tcPr>
            <w:tcW w:type="dxa" w:w="5184"/>
            <w:vAlign w:val="center"/>
          </w:tcPr>
          <w:p>
            <w:r/>
            <w:r>
              <w:rPr>
                <w:rFonts w:ascii="Aptos" w:hAnsi="Aptos"/>
                <w:b w:val="0"/>
                <w:sz w:val="16"/>
              </w:rPr>
              <w:t>Quality failure</w:t>
            </w:r>
          </w:p>
        </w:tc>
        <w:tc>
          <w:tcPr>
            <w:tcW w:type="dxa" w:w="5184"/>
            <w:vAlign w:val="center"/>
          </w:tcPr>
          <w:p>
            <w:r/>
            <w:r>
              <w:rPr>
                <w:rFonts w:ascii="Aptos" w:hAnsi="Aptos"/>
                <w:b w:val="0"/>
                <w:sz w:val="16"/>
              </w:rPr>
              <w:t>Quality SLO bad event recorded independently of availability.</w:t>
            </w:r>
          </w:p>
        </w:tc>
      </w:tr>
      <w:tr>
        <w:tc>
          <w:tcPr>
            <w:tcW w:type="dxa" w:w="5184"/>
            <w:vAlign w:val="center"/>
            <w:shd w:fill="F4F7FA"/>
          </w:tcPr>
          <w:p>
            <w:r/>
            <w:r>
              <w:rPr>
                <w:rFonts w:ascii="Aptos" w:hAnsi="Aptos"/>
                <w:b w:val="0"/>
                <w:sz w:val="16"/>
              </w:rPr>
              <w:t>Error budget</w:t>
            </w:r>
          </w:p>
        </w:tc>
        <w:tc>
          <w:tcPr>
            <w:tcW w:type="dxa" w:w="5184"/>
            <w:vAlign w:val="center"/>
            <w:shd w:fill="F4F7FA"/>
          </w:tcPr>
          <w:p>
            <w:r/>
            <w:r>
              <w:rPr>
                <w:rFonts w:ascii="Aptos" w:hAnsi="Aptos"/>
                <w:b w:val="0"/>
                <w:sz w:val="16"/>
              </w:rPr>
              <w:t>Known synthetic dataset yields expected budget consumption.</w:t>
            </w:r>
          </w:p>
        </w:tc>
      </w:tr>
      <w:tr>
        <w:tc>
          <w:tcPr>
            <w:tcW w:type="dxa" w:w="5184"/>
            <w:vAlign w:val="center"/>
          </w:tcPr>
          <w:p>
            <w:r/>
            <w:r>
              <w:rPr>
                <w:rFonts w:ascii="Aptos" w:hAnsi="Aptos"/>
                <w:b w:val="0"/>
                <w:sz w:val="16"/>
              </w:rPr>
              <w:t>Content privacy</w:t>
            </w:r>
          </w:p>
        </w:tc>
        <w:tc>
          <w:tcPr>
            <w:tcW w:type="dxa" w:w="5184"/>
            <w:vAlign w:val="center"/>
          </w:tcPr>
          <w:p>
            <w:r/>
            <w:r>
              <w:rPr>
                <w:rFonts w:ascii="Aptos" w:hAnsi="Aptos"/>
                <w:b w:val="0"/>
                <w:sz w:val="16"/>
              </w:rPr>
              <w:t>No prompt/output stored when capture disabled.</w:t>
            </w:r>
          </w:p>
        </w:tc>
      </w:tr>
      <w:tr>
        <w:tc>
          <w:tcPr>
            <w:tcW w:type="dxa" w:w="5184"/>
            <w:vAlign w:val="center"/>
            <w:shd w:fill="F4F7FA"/>
          </w:tcPr>
          <w:p>
            <w:r/>
            <w:r>
              <w:rPr>
                <w:rFonts w:ascii="Aptos" w:hAnsi="Aptos"/>
                <w:b w:val="0"/>
                <w:sz w:val="16"/>
              </w:rPr>
              <w:t>CI regression</w:t>
            </w:r>
          </w:p>
        </w:tc>
        <w:tc>
          <w:tcPr>
            <w:tcW w:type="dxa" w:w="5184"/>
            <w:vAlign w:val="center"/>
            <w:shd w:fill="F4F7FA"/>
          </w:tcPr>
          <w:p>
            <w:r/>
            <w:r>
              <w:rPr>
                <w:rFonts w:ascii="Aptos" w:hAnsi="Aptos"/>
                <w:b w:val="0"/>
                <w:sz w:val="16"/>
              </w:rPr>
              <w:t>Candidate prompt that violates threshold returns non-zero/FAIL.</w:t>
            </w:r>
          </w:p>
        </w:tc>
      </w:tr>
      <w:tr>
        <w:tc>
          <w:tcPr>
            <w:tcW w:type="dxa" w:w="5184"/>
            <w:vAlign w:val="center"/>
          </w:tcPr>
          <w:p>
            <w:r/>
            <w:r>
              <w:rPr>
                <w:rFonts w:ascii="Aptos" w:hAnsi="Aptos"/>
                <w:b w:val="0"/>
                <w:sz w:val="16"/>
              </w:rPr>
              <w:t>Dashboard drill-down</w:t>
            </w:r>
          </w:p>
        </w:tc>
        <w:tc>
          <w:tcPr>
            <w:tcW w:type="dxa" w:w="5184"/>
            <w:vAlign w:val="center"/>
          </w:tcPr>
          <w:p>
            <w:r/>
            <w:r>
              <w:rPr>
                <w:rFonts w:ascii="Aptos" w:hAnsi="Aptos"/>
                <w:b w:val="0"/>
                <w:sz w:val="16"/>
              </w:rPr>
              <w:t>User can navigate from service breach to transaction diagnosis.</w:t>
            </w:r>
          </w:p>
        </w:tc>
      </w:tr>
    </w:tbl>
    <w:p>
      <w:pPr>
        <w:pStyle w:val="Heading1"/>
      </w:pPr>
      <w:r>
        <w:t>28. Definition of Done for the GDE Developer Edition</w:t>
      </w:r>
    </w:p>
    <w:p>
      <w:pPr>
        <w:pStyle w:val="ListBullet"/>
        <w:spacing w:after="40"/>
      </w:pPr>
      <w:r>
        <w:t>Public repository can be cloned and run from documented instructions.</w:t>
      </w:r>
    </w:p>
    <w:p>
      <w:pPr>
        <w:pStyle w:val="ListBullet"/>
        <w:spacing w:after="40"/>
      </w:pPr>
      <w:r>
        <w:t>Gemini and Vertex AI examples work using developer-provided credentials.</w:t>
      </w:r>
    </w:p>
    <w:p>
      <w:pPr>
        <w:pStyle w:val="ListBullet"/>
        <w:spacing w:after="40"/>
      </w:pPr>
      <w:r>
        <w:t>OpenTelemetry-compatible traces are emitted.</w:t>
      </w:r>
    </w:p>
    <w:p>
      <w:pPr>
        <w:pStyle w:val="ListBullet"/>
        <w:spacing w:after="40"/>
      </w:pPr>
      <w:r>
        <w:t>Six outcome SLOs are visible.</w:t>
      </w:r>
    </w:p>
    <w:p>
      <w:pPr>
        <w:pStyle w:val="ListBullet"/>
        <w:spacing w:after="40"/>
      </w:pPr>
      <w:r>
        <w:t>Prompt Quality is explainable, versioned, and separated from outcome SLOs.</w:t>
      </w:r>
    </w:p>
    <w:p>
      <w:pPr>
        <w:pStyle w:val="ListBullet"/>
        <w:spacing w:after="40"/>
      </w:pPr>
      <w:r>
        <w:t>Hallucination diagnostics distinguish prompt/context/retrieval/tool/model contributors and state uncertainty.</w:t>
      </w:r>
    </w:p>
    <w:p>
      <w:pPr>
        <w:pStyle w:val="ListBullet"/>
        <w:spacing w:after="40"/>
      </w:pPr>
      <w:r>
        <w:t>Efficiency envelope identifies excessive calls/tokens/retries/cost per outcome.</w:t>
      </w:r>
    </w:p>
    <w:p>
      <w:pPr>
        <w:pStyle w:val="ListBullet"/>
        <w:spacing w:after="40"/>
      </w:pPr>
      <w:r>
        <w:t>Error budget and burn-rate MVP works.</w:t>
      </w:r>
    </w:p>
    <w:p>
      <w:pPr>
        <w:pStyle w:val="ListBullet"/>
        <w:spacing w:after="40"/>
      </w:pPr>
      <w:r>
        <w:t>Dashboard provides trace-level diagnosis.</w:t>
      </w:r>
    </w:p>
    <w:p>
      <w:pPr>
        <w:pStyle w:val="ListBullet"/>
        <w:spacing w:after="40"/>
      </w:pPr>
      <w:r>
        <w:t>CI example demonstrates prompt regression gating.</w:t>
      </w:r>
    </w:p>
    <w:p>
      <w:pPr>
        <w:pStyle w:val="ListBullet"/>
        <w:spacing w:after="40"/>
      </w:pPr>
      <w:r>
        <w:t>No customer content is captured by default.</w:t>
      </w:r>
    </w:p>
    <w:p>
      <w:pPr>
        <w:pStyle w:val="ListBullet"/>
        <w:spacing w:after="40"/>
      </w:pPr>
      <w:r>
        <w:t>README, architecture diagram, tutorial, demo script, and roadmap are complete.</w:t>
      </w:r>
    </w:p>
    <w:p>
      <w:pPr>
        <w:pStyle w:val="Heading1"/>
      </w:pPr>
      <w:r>
        <w:t>29. Immediate Build Order</w:t>
      </w:r>
    </w:p>
    <w:p>
      <w:r>
        <w:t>If development starts now, the first engineering commit should not be the dashboard. Implement in this order:</w:t>
      </w:r>
    </w:p>
    <w:p>
      <w:r>
        <w:t>1. Repository + schemas + configuration format.</w:t>
      </w:r>
    </w:p>
    <w:p>
      <w:r>
        <w:t>2. Normalized transaction/span model aligned with OpenTelemetry.</w:t>
      </w:r>
    </w:p>
    <w:p>
      <w:r>
        <w:t>3. Gemini adapter and end-to-end trace.</w:t>
      </w:r>
    </w:p>
    <w:p>
      <w:r>
        <w:t>4. Efficiency envelope evaluation.</w:t>
      </w:r>
    </w:p>
    <w:p>
      <w:r>
        <w:t>5. Deterministic Prompt Quality analyzer.</w:t>
      </w:r>
    </w:p>
    <w:p>
      <w:r>
        <w:t>6. Evaluation/grounding interface.</w:t>
      </w:r>
    </w:p>
    <w:p>
      <w:r>
        <w:t>7. SLO/error-budget aggregation.</w:t>
      </w:r>
    </w:p>
    <w:p>
      <w:r>
        <w:t>8. Dashboard.</w:t>
      </w:r>
    </w:p>
    <w:p>
      <w:r>
        <w:t>9. Vertex AI adapter/reference.</w:t>
      </w:r>
    </w:p>
    <w:p>
      <w:r>
        <w:t>10. CI gate, tests, documentation and public release.</w:t>
      </w:r>
    </w:p>
    <w:p>
      <w:pPr>
        <w:pStyle w:val="Heading1"/>
      </w:pPr>
      <w:r>
        <w:t>30. Authoritative References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6"/>
              </w:rPr>
              <w:t>Source</w:t>
            </w:r>
          </w:p>
        </w:tc>
        <w:tc>
          <w:tcPr>
            <w:tcW w:type="dxa" w:w="3456"/>
            <w:vAlign w:val="center"/>
            <w:shd w:fill="1F4E78"/>
          </w:tcPr>
          <w:p>
            <w:r/>
            <w:r>
              <w:rPr>
                <w:rFonts w:ascii="Aptos" w:hAnsi="Aptos"/>
                <w:b/>
                <w:color w:val="FFFFFF"/>
                <w:sz w:val="16"/>
              </w:rPr>
              <w:t>URL</w:t>
            </w:r>
          </w:p>
        </w:tc>
        <w:tc>
          <w:tcPr>
            <w:tcW w:type="dxa" w:w="3456"/>
            <w:vAlign w:val="center"/>
            <w:shd w:fill="1F4E78"/>
          </w:tcPr>
          <w:p>
            <w:r/>
            <w:r>
              <w:rPr>
                <w:rFonts w:ascii="Aptos" w:hAnsi="Aptos"/>
                <w:b/>
                <w:color w:val="FFFFFF"/>
                <w:sz w:val="16"/>
              </w:rPr>
              <w:t>Use in specification</w:t>
            </w:r>
          </w:p>
        </w:tc>
      </w:tr>
      <w:tr>
        <w:tc>
          <w:tcPr>
            <w:tcW w:type="dxa" w:w="3456"/>
            <w:vAlign w:val="center"/>
          </w:tcPr>
          <w:p>
            <w:r/>
            <w:r>
              <w:rPr>
                <w:rFonts w:ascii="Aptos" w:hAnsi="Aptos"/>
                <w:b w:val="0"/>
                <w:sz w:val="16"/>
              </w:rPr>
              <w:t>Google Developer Experts</w:t>
            </w:r>
          </w:p>
        </w:tc>
        <w:tc>
          <w:tcPr>
            <w:tcW w:type="dxa" w:w="3456"/>
            <w:vAlign w:val="center"/>
          </w:tcPr>
          <w:p>
            <w:r/>
            <w:r>
              <w:rPr>
                <w:rFonts w:ascii="Aptos" w:hAnsi="Aptos"/>
                <w:b w:val="0"/>
                <w:sz w:val="16"/>
              </w:rPr>
              <w:t>https://developers.google.com/community/experts</w:t>
            </w:r>
          </w:p>
        </w:tc>
        <w:tc>
          <w:tcPr>
            <w:tcW w:type="dxa" w:w="3456"/>
            <w:vAlign w:val="center"/>
          </w:tcPr>
          <w:p>
            <w:r/>
            <w:r>
              <w:rPr>
                <w:rFonts w:ascii="Aptos" w:hAnsi="Aptos"/>
                <w:b w:val="0"/>
                <w:sz w:val="16"/>
              </w:rPr>
              <w:t>Eligibility emphasizes Google technology expertise, significant developer-community contributions, clear communication, and referral by a Googler or existing GDE.</w:t>
            </w:r>
          </w:p>
        </w:tc>
      </w:tr>
      <w:tr>
        <w:tc>
          <w:tcPr>
            <w:tcW w:type="dxa" w:w="3456"/>
            <w:vAlign w:val="center"/>
            <w:shd w:fill="F4F7FA"/>
          </w:tcPr>
          <w:p>
            <w:r/>
            <w:r>
              <w:rPr>
                <w:rFonts w:ascii="Aptos" w:hAnsi="Aptos"/>
                <w:b w:val="0"/>
                <w:sz w:val="16"/>
              </w:rPr>
              <w:t>OpenTelemetry Semantic Conventions</w:t>
            </w:r>
          </w:p>
        </w:tc>
        <w:tc>
          <w:tcPr>
            <w:tcW w:type="dxa" w:w="3456"/>
            <w:vAlign w:val="center"/>
            <w:shd w:fill="F4F7FA"/>
          </w:tcPr>
          <w:p>
            <w:r/>
            <w:r>
              <w:rPr>
                <w:rFonts w:ascii="Aptos" w:hAnsi="Aptos"/>
                <w:b w:val="0"/>
                <w:sz w:val="16"/>
              </w:rPr>
              <w:t>https://opentelemetry.io/docs/specs/semconv/</w:t>
            </w:r>
          </w:p>
        </w:tc>
        <w:tc>
          <w:tcPr>
            <w:tcW w:type="dxa" w:w="3456"/>
            <w:vAlign w:val="center"/>
            <w:shd w:fill="F4F7FA"/>
          </w:tcPr>
          <w:p>
            <w:r/>
            <w:r>
              <w:rPr>
                <w:rFonts w:ascii="Aptos" w:hAnsi="Aptos"/>
                <w:b w:val="0"/>
                <w:sz w:val="16"/>
              </w:rPr>
              <w:t>Common semantic conventions for traces, metrics, logs and other signals.</w:t>
            </w:r>
          </w:p>
        </w:tc>
      </w:tr>
      <w:tr>
        <w:tc>
          <w:tcPr>
            <w:tcW w:type="dxa" w:w="3456"/>
            <w:vAlign w:val="center"/>
          </w:tcPr>
          <w:p>
            <w:r/>
            <w:r>
              <w:rPr>
                <w:rFonts w:ascii="Aptos" w:hAnsi="Aptos"/>
                <w:b w:val="0"/>
                <w:sz w:val="16"/>
              </w:rPr>
              <w:t>OpenTelemetry GenAI Attributes</w:t>
            </w:r>
          </w:p>
        </w:tc>
        <w:tc>
          <w:tcPr>
            <w:tcW w:type="dxa" w:w="3456"/>
            <w:vAlign w:val="center"/>
          </w:tcPr>
          <w:p>
            <w:r/>
            <w:r>
              <w:rPr>
                <w:rFonts w:ascii="Aptos" w:hAnsi="Aptos"/>
                <w:b w:val="0"/>
                <w:sz w:val="16"/>
              </w:rPr>
              <w:t>https://opentelemetry.io/docs/specs/semconv/registry/attributes/gen-ai/</w:t>
            </w:r>
          </w:p>
        </w:tc>
        <w:tc>
          <w:tcPr>
            <w:tcW w:type="dxa" w:w="3456"/>
            <w:vAlign w:val="center"/>
          </w:tcPr>
          <w:p>
            <w:r/>
            <w:r>
              <w:rPr>
                <w:rFonts w:ascii="Aptos" w:hAnsi="Aptos"/>
                <w:b w:val="0"/>
                <w:sz w:val="16"/>
              </w:rPr>
              <w:t>GenAI telemetry conventions; input/output content can contain sensitive/PII data.</w:t>
            </w:r>
          </w:p>
        </w:tc>
      </w:tr>
      <w:tr>
        <w:tc>
          <w:tcPr>
            <w:tcW w:type="dxa" w:w="3456"/>
            <w:vAlign w:val="center"/>
            <w:shd w:fill="F4F7FA"/>
          </w:tcPr>
          <w:p>
            <w:r/>
            <w:r>
              <w:rPr>
                <w:rFonts w:ascii="Aptos" w:hAnsi="Aptos"/>
                <w:b w:val="0"/>
                <w:sz w:val="16"/>
              </w:rPr>
              <w:t>Gemini Developer API Pricing</w:t>
            </w:r>
          </w:p>
        </w:tc>
        <w:tc>
          <w:tcPr>
            <w:tcW w:type="dxa" w:w="3456"/>
            <w:vAlign w:val="center"/>
            <w:shd w:fill="F4F7FA"/>
          </w:tcPr>
          <w:p>
            <w:r/>
            <w:r>
              <w:rPr>
                <w:rFonts w:ascii="Aptos" w:hAnsi="Aptos"/>
                <w:b w:val="0"/>
                <w:sz w:val="16"/>
              </w:rPr>
              <w:t>https://ai.google.dev/gemini-api/docs/pricing</w:t>
            </w:r>
          </w:p>
        </w:tc>
        <w:tc>
          <w:tcPr>
            <w:tcW w:type="dxa" w:w="3456"/>
            <w:vAlign w:val="center"/>
            <w:shd w:fill="F4F7FA"/>
          </w:tcPr>
          <w:p>
            <w:r/>
            <w:r>
              <w:rPr>
                <w:rFonts w:ascii="Aptos" w:hAnsi="Aptos"/>
                <w:b w:val="0"/>
                <w:sz w:val="16"/>
              </w:rPr>
              <w:t>Current developer/free and paid API pricing model; pricing should be treated as dynamic configuration.</w:t>
            </w:r>
          </w:p>
        </w:tc>
      </w:tr>
    </w:tbl>
    <w:p/>
    <w:p>
      <w:pPr>
        <w:jc w:val="center"/>
      </w:pPr>
      <w:r>
        <w:rPr>
          <w:b/>
          <w:color w:val="1A477A"/>
        </w:rPr>
        <w:t>END OF SPECIFICATION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47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