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b/>
          <w:bCs/>
          <w:color w:val="1F3864"/>
          <w:sz w:val="52"/>
          <w:szCs w:val="52"/>
        </w:rPr>
        <w:t xml:space="preserve">SALESFORCE CI/CD PIPELINE</w:t>
      </w:r>
    </w:p>
    <w:p>
      <w:pPr>
        <w:spacing w:after="600"/>
        <w:jc w:val="center"/>
      </w:pPr>
      <w:r>
        <w:rPr>
          <w:color w:val="2E5AAC"/>
          <w:sz w:val="30"/>
          <w:szCs w:val="30"/>
        </w:rPr>
        <w:t xml:space="preserve">Implementation &amp; Operations Guide</w:t>
      </w:r>
    </w:p>
    <w:p>
      <w:pPr>
        <w:spacing w:after="100"/>
        <w:jc w:val="center"/>
      </w:pPr>
      <w:r>
        <w:rPr>
          <w:i/>
          <w:iCs/>
          <w:color w:val="444444"/>
          <w:sz w:val="22"/>
          <w:szCs w:val="22"/>
        </w:rPr>
        <w:t xml:space="preserve">GitHub Actions – Multi-Environment Deployment Pipeline for Salesforce</w:t>
      </w:r>
    </w:p>
    <w:p>
      <w:pPr>
        <w:spacing w:after="60" w:before="1000"/>
        <w:jc w:val="center"/>
      </w:pPr>
      <w:r>
        <w:rPr>
          <w:color w:val="333333"/>
          <w:sz w:val="21"/>
          <w:szCs w:val="21"/>
        </w:rPr>
        <w:t xml:space="preserve">Repository:  jagadeesh-dereddy/salesforce-org</w:t>
      </w:r>
    </w:p>
    <w:p>
      <w:pPr>
        <w:spacing w:after="60"/>
        <w:jc w:val="center"/>
      </w:pPr>
      <w:r>
        <w:rPr>
          <w:color w:val="333333"/>
          <w:sz w:val="21"/>
          <w:szCs w:val="21"/>
        </w:rPr>
        <w:t xml:space="preserve">Branching model:  feature/* → dev → qa → uat → release → master</w:t>
      </w:r>
    </w:p>
    <w:p>
      <w:pPr>
        <w:spacing w:after="60"/>
        <w:jc w:val="center"/>
      </w:pPr>
      <w:r>
        <w:rPr>
          <w:color w:val="333333"/>
          <w:sz w:val="21"/>
          <w:szCs w:val="21"/>
        </w:rPr>
        <w:t xml:space="preserve">Document version: 1.0</w:t>
      </w:r>
    </w:p>
    <w:p>
      <w:pPr>
        <w:spacing w:after="60"/>
        <w:jc w:val="center"/>
      </w:pPr>
      <w:r>
        <w:rPr>
          <w:color w:val="333333"/>
          <w:sz w:val="21"/>
          <w:szCs w:val="21"/>
        </w:rPr>
        <w:t xml:space="preserve">Last updated: August 9, 2026</w:t>
      </w:r>
    </w:p>
    <w:p>
      <w:pPr>
        <w:spacing w:before="1400"/>
        <w:jc w:val="center"/>
      </w:pPr>
      <w:r>
        <w:rPr>
          <w:i/>
          <w:iCs/>
          <w:color w:val="808080"/>
          <w:sz w:val="18"/>
          <w:szCs w:val="18"/>
        </w:rPr>
        <w:t xml:space="preserve">Prepared for internal knowledge base use.</w:t>
      </w:r>
    </w:p>
    <w:p>
      <w:r>
        <w:br w:type="page"/>
      </w:r>
    </w:p>
    <w:p>
      <w:pPr>
        <w:pStyle w:val="Heading1"/>
        <w:pBdr>
          <w:bottom w:val="single" w:color="2E5AAC" w:sz="8" w:space="4"/>
        </w:pBdr>
        <w:spacing w:after="240" w:before="48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5AAC" w:sz="8" w:space="4"/>
        </w:pBdr>
        <w:spacing w:after="240" w:before="480"/>
      </w:pPr>
      <w:r>
        <w:rPr>
          <w:b/>
          <w:bCs/>
          <w:color w:val="1F3864"/>
          <w:sz w:val="32"/>
          <w:szCs w:val="32"/>
        </w:rPr>
        <w:t xml:space="preserve">1. Executive Summary</w:t>
      </w:r>
    </w:p>
    <w:p>
      <w:pPr>
        <w:spacing w:after="160" w:line="276"/>
      </w:pPr>
      <w:r>
        <w:rPr>
          <w:sz w:val="21"/>
          <w:szCs w:val="21"/>
        </w:rPr>
        <w:t xml:space="preserve">This document describes the GitHub Actions-based CI/CD pipeline built for the Salesforce org represented by the salesforce-org repository. It covers the full journey from an empty repository to a working, security-hardened, multi-environment deployment pipeline — including the initial single-org proof of concept, the issues encountered and fixed along the way, and the final production-oriented architecture.</w:t>
      </w:r>
    </w:p>
    <w:p>
      <w:pPr>
        <w:spacing w:after="160" w:line="276"/>
      </w:pPr>
      <w:r>
        <w:rPr>
          <w:sz w:val="21"/>
          <w:szCs w:val="21"/>
        </w:rPr>
        <w:t xml:space="preserve">The pipeline automates two things for every Salesforce metadata change:</w:t>
      </w:r>
    </w:p>
    <w:p>
      <w:pPr>
        <w:pStyle w:val="ListParagraph"/>
        <w:numPr>
          <w:ilvl w:val="0"/>
          <w:numId w:val="2"/>
        </w:numPr>
        <w:spacing w:after="80" w:line="264"/>
      </w:pPr>
      <w:r>
        <w:rPr>
          <w:sz w:val="21"/>
          <w:szCs w:val="21"/>
        </w:rPr>
        <w:t xml:space="preserve">Pull request validation — a merge gate that runs static analysis (PMD) and a Salesforce dry-run deployment (“validate”) before any change is allowed to merge, so a broken change is caught before it reaches an org.</w:t>
      </w:r>
    </w:p>
    <w:p>
      <w:pPr>
        <w:pStyle w:val="ListParagraph"/>
        <w:numPr>
          <w:ilvl w:val="0"/>
          <w:numId w:val="2"/>
        </w:numPr>
        <w:spacing w:after="80" w:line="264"/>
      </w:pPr>
      <w:r>
        <w:rPr>
          <w:sz w:val="21"/>
          <w:szCs w:val="21"/>
        </w:rPr>
        <w:t xml:space="preserve">Deployment — once merged, the change is automatically deployed to the Salesforce org that corresponds to the branch it landed on.</w:t>
      </w:r>
    </w:p>
    <w:p>
      <w:pPr>
        <w:spacing w:after="160" w:line="276"/>
      </w:pPr>
      <w:r>
        <w:rPr>
          <w:sz w:val="21"/>
          <w:szCs w:val="21"/>
        </w:rPr>
        <w:t xml:space="preserve"/>
      </w:r>
    </w:p>
    <w:p>
      <w:pPr>
        <w:spacing w:after="160" w:line="276"/>
      </w:pPr>
      <w:r>
        <w:rPr>
          <w:sz w:val="21"/>
          <w:szCs w:val="21"/>
        </w:rPr>
        <w:t xml:space="preserve">The pipeline currently exists in two layers:</w:t>
      </w:r>
    </w:p>
    <w:p>
      <w:pPr>
        <w:pStyle w:val="ListParagraph"/>
        <w:numPr>
          <w:ilvl w:val="0"/>
          <w:numId w:val="3"/>
        </w:numPr>
        <w:spacing w:after="80" w:line="264"/>
      </w:pPr>
      <w:r>
        <w:rPr>
          <w:sz w:val="21"/>
          <w:szCs w:val="21"/>
        </w:rPr>
        <w:t xml:space="preserve">A working single-org proof of concept </w:t>
      </w:r>
      <w:r>
        <w:rPr>
          <w:i/>
          <w:iCs/>
          <w:sz w:val="21"/>
          <w:szCs w:val="21"/>
        </w:rPr>
        <w:t xml:space="preserve">(branches OrgSource / OrgDestination)</w:t>
      </w:r>
      <w:r>
        <w:rPr>
          <w:sz w:val="21"/>
          <w:szCs w:val="21"/>
        </w:rPr>
        <w:t xml:space="preserve"> that was built first, fully tested end-to-end, and verified with a real deployment to a Salesforce Developer org.</w:t>
      </w:r>
    </w:p>
    <w:p>
      <w:pPr>
        <w:pStyle w:val="ListParagraph"/>
        <w:numPr>
          <w:ilvl w:val="0"/>
          <w:numId w:val="3"/>
        </w:numPr>
        <w:spacing w:after="80" w:line="264"/>
      </w:pPr>
      <w:r>
        <w:rPr>
          <w:sz w:val="21"/>
          <w:szCs w:val="21"/>
        </w:rPr>
        <w:t xml:space="preserve">The production-oriented multi-environment architecture </w:t>
      </w:r>
      <w:r>
        <w:rPr>
          <w:i/>
          <w:iCs/>
          <w:sz w:val="21"/>
          <w:szCs w:val="21"/>
        </w:rPr>
        <w:t xml:space="preserve">(branches dev / qa / uat / release / master)</w:t>
      </w:r>
      <w:r>
        <w:rPr>
          <w:sz w:val="21"/>
          <w:szCs w:val="21"/>
        </w:rPr>
        <w:t xml:space="preserve"> that supersedes it, matching the organization's actual Dev → QA → UAT → Production promotion strategy. This is the version intended for real use.</w:t>
      </w:r>
    </w:p>
    <w:p>
      <w:pPr>
        <w:spacing w:after="160" w:line="276"/>
      </w:pPr>
      <w:r>
        <w:rPr>
          <w:sz w:val="21"/>
          <w:szCs w:val="21"/>
        </w:rPr>
        <w:t xml:space="preserve"/>
      </w:r>
    </w:p>
    <w:tbl>
      <w:tblPr>
        <w:tblW w:type="dxa" w:w="9360"/>
        <w:tblBorders>
          <w:top w:val="single" w:color="2E5AAC" w:sz="4"/>
          <w:left w:val="single" w:color="2E5AAC" w:sz="24"/>
          <w:bottom w:val="single" w:color="2E5AAC" w:sz="4"/>
          <w:right w:val="single" w:color="2E5AAC" w:sz="4"/>
          <w:insideH w:val="single" w:color="auto" w:sz="4"/>
          <w:insideV w:val="single" w:color="auto" w:sz="4"/>
        </w:tblBorders>
      </w:tblPr>
      <w:tblGrid>
        <w:gridCol w:w="9360"/>
      </w:tblGrid>
      <w:tr>
        <w:tc>
          <w:tcPr>
            <w:tcW w:type="dxa" w:w="9360"/>
            <w:shd w:fill="F2F2F2" w:val="clear"/>
            <w:tcMar>
              <w:top w:type="dxa" w:w="120"/>
              <w:left w:type="dxa" w:w="200"/>
              <w:bottom w:type="dxa" w:w="120"/>
              <w:right w:type="dxa" w:w="200"/>
            </w:tcMar>
          </w:tcPr>
          <w:p>
            <w:pPr>
              <w:spacing w:after="60"/>
            </w:pPr>
            <w:r>
              <w:rPr>
                <w:b/>
                <w:bCs/>
                <w:color w:val="2E5AAC"/>
                <w:sz w:val="20"/>
                <w:szCs w:val="20"/>
              </w:rPr>
              <w:t xml:space="preserve">Current status</w:t>
            </w:r>
          </w:p>
          <w:p>
            <w:pPr>
              <w:spacing w:after="0"/>
            </w:pPr>
            <w:r>
              <w:rPr>
                <w:color w:val="333333"/>
                <w:sz w:val="20"/>
                <w:szCs w:val="20"/>
              </w:rPr>
              <w:t xml:space="preserve">The multi-environment pipeline is fully built, security-reviewed, and verified against the Dev org. QA, UAT, and Production are wired up structurally (branches, GitHub Environments, protection rules, placeholder secrets) but are not yet connected to real Salesforce orgs — see Section 9 (Outstanding Items) for exactly what remains.</w:t>
            </w:r>
          </w:p>
        </w:tc>
      </w:tr>
    </w:tbl>
    <w:p>
      <w:pPr>
        <w:spacing w:after="160" w:line="276"/>
      </w:pPr>
      <w:r>
        <w:rPr>
          <w:sz w:val="21"/>
          <w:szCs w:val="21"/>
        </w:rPr>
        <w:t xml:space="preserve"/>
      </w:r>
    </w:p>
    <w:p>
      <w:pPr>
        <w:pStyle w:val="Heading1"/>
        <w:pBdr>
          <w:bottom w:val="single" w:color="2E5AAC" w:sz="8" w:space="4"/>
        </w:pBdr>
        <w:spacing w:after="240" w:before="480"/>
      </w:pPr>
      <w:r>
        <w:rPr>
          <w:b/>
          <w:bCs/>
          <w:color w:val="1F3864"/>
          <w:sz w:val="32"/>
          <w:szCs w:val="32"/>
        </w:rPr>
        <w:t xml:space="preserve">2. Prerequisites &amp; Tools</w:t>
      </w:r>
    </w:p>
    <w:p>
      <w:pPr>
        <w:spacing w:after="160" w:line="276"/>
      </w:pPr>
      <w:r>
        <w:rPr>
          <w:sz w:val="21"/>
          <w:szCs w:val="21"/>
        </w:rPr>
        <w:t xml:space="preserve">The following tools were installed and used to build this pipeline. None of these require any special licensing; gh and Homebrew were not present on the machine at the start and were installed as part of this work.</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4600"/>
        <w:gridCol w:w="216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Tool</w:t>
            </w:r>
          </w:p>
        </w:tc>
        <w:tc>
          <w:tcPr>
            <w:tcW w:type="dxa" w:w="4600"/>
            <w:shd w:fill="1F3864" w:val="clear"/>
            <w:tcMar>
              <w:top w:type="dxa" w:w="80"/>
              <w:left w:type="dxa" w:w="100"/>
              <w:bottom w:type="dxa" w:w="80"/>
              <w:right w:type="dxa" w:w="100"/>
            </w:tcMar>
            <w:vAlign w:val="center"/>
          </w:tcPr>
          <w:p>
            <w:r>
              <w:rPr>
                <w:b/>
                <w:bCs/>
                <w:color w:val="FFFFFF"/>
                <w:sz w:val="19"/>
                <w:szCs w:val="19"/>
              </w:rPr>
              <w:t xml:space="preserve">Purpose</w:t>
            </w:r>
          </w:p>
        </w:tc>
        <w:tc>
          <w:tcPr>
            <w:tcW w:type="dxa" w:w="2160"/>
            <w:shd w:fill="1F3864" w:val="clear"/>
            <w:tcMar>
              <w:top w:type="dxa" w:w="80"/>
              <w:left w:type="dxa" w:w="100"/>
              <w:bottom w:type="dxa" w:w="80"/>
              <w:right w:type="dxa" w:w="100"/>
            </w:tcMar>
            <w:vAlign w:val="center"/>
          </w:tcPr>
          <w:p>
            <w:r>
              <w:rPr>
                <w:b/>
                <w:bCs/>
                <w:color w:val="FFFFFF"/>
                <w:sz w:val="19"/>
                <w:szCs w:val="19"/>
              </w:rPr>
              <w:t xml:space="preserve">Version used</w:t>
            </w:r>
          </w:p>
        </w:tc>
      </w:tr>
      <w:tr>
        <w:tc>
          <w:tcPr>
            <w:tcW w:type="dxa" w:w="2600"/>
            <w:shd w:fill="FFFFFF" w:val="clear"/>
            <w:tcMar>
              <w:top w:type="dxa" w:w="80"/>
              <w:left w:type="dxa" w:w="100"/>
              <w:bottom w:type="dxa" w:w="80"/>
              <w:right w:type="dxa" w:w="100"/>
            </w:tcMar>
            <w:vAlign w:val="center"/>
          </w:tcPr>
          <w:p>
            <w:r>
              <w:rPr>
                <w:sz w:val="19"/>
                <w:szCs w:val="19"/>
              </w:rPr>
              <w:t xml:space="preserve">Salesforce CLI (sf)</w:t>
            </w:r>
          </w:p>
        </w:tc>
        <w:tc>
          <w:tcPr>
            <w:tcW w:type="dxa" w:w="4600"/>
            <w:shd w:fill="FFFFFF" w:val="clear"/>
            <w:tcMar>
              <w:top w:type="dxa" w:w="80"/>
              <w:left w:type="dxa" w:w="100"/>
              <w:bottom w:type="dxa" w:w="80"/>
              <w:right w:type="dxa" w:w="100"/>
            </w:tcMar>
            <w:vAlign w:val="center"/>
          </w:tcPr>
          <w:p>
            <w:r>
              <w:rPr>
                <w:sz w:val="19"/>
                <w:szCs w:val="19"/>
              </w:rPr>
              <w:t xml:space="preserve">Project scaffolding, org auth, metadata retrieve/deploy</w:t>
            </w:r>
          </w:p>
        </w:tc>
        <w:tc>
          <w:tcPr>
            <w:tcW w:type="dxa" w:w="2160"/>
            <w:shd w:fill="FFFFFF" w:val="clear"/>
            <w:tcMar>
              <w:top w:type="dxa" w:w="80"/>
              <w:left w:type="dxa" w:w="100"/>
              <w:bottom w:type="dxa" w:w="80"/>
              <w:right w:type="dxa" w:w="100"/>
            </w:tcMar>
            <w:vAlign w:val="center"/>
          </w:tcPr>
          <w:p>
            <w:r>
              <w:rPr>
                <w:sz w:val="19"/>
                <w:szCs w:val="19"/>
              </w:rPr>
              <w:t xml:space="preserve">2.146.3</w:t>
            </w:r>
          </w:p>
        </w:tc>
      </w:tr>
      <w:tr>
        <w:tc>
          <w:tcPr>
            <w:tcW w:type="dxa" w:w="2600"/>
            <w:shd w:fill="F2F2F2" w:val="clear"/>
            <w:tcMar>
              <w:top w:type="dxa" w:w="80"/>
              <w:left w:type="dxa" w:w="100"/>
              <w:bottom w:type="dxa" w:w="80"/>
              <w:right w:type="dxa" w:w="100"/>
            </w:tcMar>
            <w:vAlign w:val="center"/>
          </w:tcPr>
          <w:p>
            <w:r>
              <w:rPr>
                <w:sz w:val="19"/>
                <w:szCs w:val="19"/>
              </w:rPr>
              <w:t xml:space="preserve">sfdx-git-delta plugin</w:t>
            </w:r>
          </w:p>
        </w:tc>
        <w:tc>
          <w:tcPr>
            <w:tcW w:type="dxa" w:w="4600"/>
            <w:shd w:fill="F2F2F2" w:val="clear"/>
            <w:tcMar>
              <w:top w:type="dxa" w:w="80"/>
              <w:left w:type="dxa" w:w="100"/>
              <w:bottom w:type="dxa" w:w="80"/>
              <w:right w:type="dxa" w:w="100"/>
            </w:tcMar>
            <w:vAlign w:val="center"/>
          </w:tcPr>
          <w:p>
            <w:r>
              <w:rPr>
                <w:sz w:val="19"/>
                <w:szCs w:val="19"/>
              </w:rPr>
              <w:t xml:space="preserve">Computes only the changed metadata between two commits</w:t>
            </w:r>
          </w:p>
        </w:tc>
        <w:tc>
          <w:tcPr>
            <w:tcW w:type="dxa" w:w="2160"/>
            <w:shd w:fill="F2F2F2" w:val="clear"/>
            <w:tcMar>
              <w:top w:type="dxa" w:w="80"/>
              <w:left w:type="dxa" w:w="100"/>
              <w:bottom w:type="dxa" w:w="80"/>
              <w:right w:type="dxa" w:w="100"/>
            </w:tcMar>
            <w:vAlign w:val="center"/>
          </w:tcPr>
          <w:p>
            <w:r>
              <w:rPr>
                <w:sz w:val="19"/>
                <w:szCs w:val="19"/>
              </w:rPr>
              <w:t xml:space="preserve">6.45.1</w:t>
            </w:r>
          </w:p>
        </w:tc>
      </w:tr>
      <w:tr>
        <w:tc>
          <w:tcPr>
            <w:tcW w:type="dxa" w:w="2600"/>
            <w:shd w:fill="FFFFFF" w:val="clear"/>
            <w:tcMar>
              <w:top w:type="dxa" w:w="80"/>
              <w:left w:type="dxa" w:w="100"/>
              <w:bottom w:type="dxa" w:w="80"/>
              <w:right w:type="dxa" w:w="100"/>
            </w:tcMar>
            <w:vAlign w:val="center"/>
          </w:tcPr>
          <w:p>
            <w:r>
              <w:rPr>
                <w:sz w:val="19"/>
                <w:szCs w:val="19"/>
              </w:rPr>
              <w:t xml:space="preserve">Git</w:t>
            </w:r>
          </w:p>
        </w:tc>
        <w:tc>
          <w:tcPr>
            <w:tcW w:type="dxa" w:w="4600"/>
            <w:shd w:fill="FFFFFF" w:val="clear"/>
            <w:tcMar>
              <w:top w:type="dxa" w:w="80"/>
              <w:left w:type="dxa" w:w="100"/>
              <w:bottom w:type="dxa" w:w="80"/>
              <w:right w:type="dxa" w:w="100"/>
            </w:tcMar>
            <w:vAlign w:val="center"/>
          </w:tcPr>
          <w:p>
            <w:r>
              <w:rPr>
                <w:sz w:val="19"/>
                <w:szCs w:val="19"/>
              </w:rPr>
              <w:t xml:space="preserve">Version control</w:t>
            </w:r>
          </w:p>
        </w:tc>
        <w:tc>
          <w:tcPr>
            <w:tcW w:type="dxa" w:w="2160"/>
            <w:shd w:fill="FFFFFF" w:val="clear"/>
            <w:tcMar>
              <w:top w:type="dxa" w:w="80"/>
              <w:left w:type="dxa" w:w="100"/>
              <w:bottom w:type="dxa" w:w="80"/>
              <w:right w:type="dxa" w:w="100"/>
            </w:tcMar>
            <w:vAlign w:val="center"/>
          </w:tcPr>
          <w:p>
            <w:r>
              <w:rPr>
                <w:sz w:val="19"/>
                <w:szCs w:val="19"/>
              </w:rPr>
              <w:t xml:space="preserve">2.50.1</w:t>
            </w:r>
          </w:p>
        </w:tc>
      </w:tr>
      <w:tr>
        <w:tc>
          <w:tcPr>
            <w:tcW w:type="dxa" w:w="2600"/>
            <w:shd w:fill="F2F2F2" w:val="clear"/>
            <w:tcMar>
              <w:top w:type="dxa" w:w="80"/>
              <w:left w:type="dxa" w:w="100"/>
              <w:bottom w:type="dxa" w:w="80"/>
              <w:right w:type="dxa" w:w="100"/>
            </w:tcMar>
            <w:vAlign w:val="center"/>
          </w:tcPr>
          <w:p>
            <w:r>
              <w:rPr>
                <w:sz w:val="19"/>
                <w:szCs w:val="19"/>
              </w:rPr>
              <w:t xml:space="preserve">Homebrew</w:t>
            </w:r>
          </w:p>
        </w:tc>
        <w:tc>
          <w:tcPr>
            <w:tcW w:type="dxa" w:w="4600"/>
            <w:shd w:fill="F2F2F2" w:val="clear"/>
            <w:tcMar>
              <w:top w:type="dxa" w:w="80"/>
              <w:left w:type="dxa" w:w="100"/>
              <w:bottom w:type="dxa" w:w="80"/>
              <w:right w:type="dxa" w:w="100"/>
            </w:tcMar>
            <w:vAlign w:val="center"/>
          </w:tcPr>
          <w:p>
            <w:r>
              <w:rPr>
                <w:sz w:val="19"/>
                <w:szCs w:val="19"/>
              </w:rPr>
              <w:t xml:space="preserve">Package manager used to install gh, node, and later docs tooling</w:t>
            </w:r>
          </w:p>
        </w:tc>
        <w:tc>
          <w:tcPr>
            <w:tcW w:type="dxa" w:w="2160"/>
            <w:shd w:fill="F2F2F2" w:val="clear"/>
            <w:tcMar>
              <w:top w:type="dxa" w:w="80"/>
              <w:left w:type="dxa" w:w="100"/>
              <w:bottom w:type="dxa" w:w="80"/>
              <w:right w:type="dxa" w:w="100"/>
            </w:tcMar>
            <w:vAlign w:val="center"/>
          </w:tcPr>
          <w:p>
            <w:r>
              <w:rPr>
                <w:sz w:val="19"/>
                <w:szCs w:val="19"/>
              </w:rPr>
              <w:t xml:space="preserve">latest</w:t>
            </w:r>
          </w:p>
        </w:tc>
      </w:tr>
      <w:tr>
        <w:tc>
          <w:tcPr>
            <w:tcW w:type="dxa" w:w="2600"/>
            <w:shd w:fill="FFFFFF" w:val="clear"/>
            <w:tcMar>
              <w:top w:type="dxa" w:w="80"/>
              <w:left w:type="dxa" w:w="100"/>
              <w:bottom w:type="dxa" w:w="80"/>
              <w:right w:type="dxa" w:w="100"/>
            </w:tcMar>
            <w:vAlign w:val="center"/>
          </w:tcPr>
          <w:p>
            <w:r>
              <w:rPr>
                <w:sz w:val="19"/>
                <w:szCs w:val="19"/>
              </w:rPr>
              <w:t xml:space="preserve">GitHub CLI (gh)</w:t>
            </w:r>
          </w:p>
        </w:tc>
        <w:tc>
          <w:tcPr>
            <w:tcW w:type="dxa" w:w="4600"/>
            <w:shd w:fill="FFFFFF" w:val="clear"/>
            <w:tcMar>
              <w:top w:type="dxa" w:w="80"/>
              <w:left w:type="dxa" w:w="100"/>
              <w:bottom w:type="dxa" w:w="80"/>
              <w:right w:type="dxa" w:w="100"/>
            </w:tcMar>
            <w:vAlign w:val="center"/>
          </w:tcPr>
          <w:p>
            <w:r>
              <w:rPr>
                <w:sz w:val="19"/>
                <w:szCs w:val="19"/>
              </w:rPr>
              <w:t xml:space="preserve">Repository, PR, secrets, and environment administration from the terminal</w:t>
            </w:r>
          </w:p>
        </w:tc>
        <w:tc>
          <w:tcPr>
            <w:tcW w:type="dxa" w:w="2160"/>
            <w:shd w:fill="FFFFFF" w:val="clear"/>
            <w:tcMar>
              <w:top w:type="dxa" w:w="80"/>
              <w:left w:type="dxa" w:w="100"/>
              <w:bottom w:type="dxa" w:w="80"/>
              <w:right w:type="dxa" w:w="100"/>
            </w:tcMar>
            <w:vAlign w:val="center"/>
          </w:tcPr>
          <w:p>
            <w:r>
              <w:rPr>
                <w:sz w:val="19"/>
                <w:szCs w:val="19"/>
              </w:rPr>
              <w:t xml:space="preserve">2.97.0</w:t>
            </w:r>
          </w:p>
        </w:tc>
      </w:tr>
      <w:tr>
        <w:tc>
          <w:tcPr>
            <w:tcW w:type="dxa" w:w="2600"/>
            <w:shd w:fill="F2F2F2" w:val="clear"/>
            <w:tcMar>
              <w:top w:type="dxa" w:w="80"/>
              <w:left w:type="dxa" w:w="100"/>
              <w:bottom w:type="dxa" w:w="80"/>
              <w:right w:type="dxa" w:w="100"/>
            </w:tcMar>
            <w:vAlign w:val="center"/>
          </w:tcPr>
          <w:p>
            <w:r>
              <w:rPr>
                <w:sz w:val="19"/>
                <w:szCs w:val="19"/>
              </w:rPr>
              <w:t xml:space="preserve">Visual Studio Code</w:t>
            </w:r>
          </w:p>
        </w:tc>
        <w:tc>
          <w:tcPr>
            <w:tcW w:type="dxa" w:w="4600"/>
            <w:shd w:fill="F2F2F2" w:val="clear"/>
            <w:tcMar>
              <w:top w:type="dxa" w:w="80"/>
              <w:left w:type="dxa" w:w="100"/>
              <w:bottom w:type="dxa" w:w="80"/>
              <w:right w:type="dxa" w:w="100"/>
            </w:tcMar>
            <w:vAlign w:val="center"/>
          </w:tcPr>
          <w:p>
            <w:r>
              <w:rPr>
                <w:sz w:val="19"/>
                <w:szCs w:val="19"/>
              </w:rPr>
              <w:t xml:space="preserve">IDE, with the Salesforce Extension Pack already installed</w:t>
            </w:r>
          </w:p>
        </w:tc>
        <w:tc>
          <w:tcPr>
            <w:tcW w:type="dxa" w:w="2160"/>
            <w:shd w:fill="F2F2F2" w:val="clear"/>
            <w:tcMar>
              <w:top w:type="dxa" w:w="80"/>
              <w:left w:type="dxa" w:w="100"/>
              <w:bottom w:type="dxa" w:w="80"/>
              <w:right w:type="dxa" w:w="100"/>
            </w:tcMar>
            <w:vAlign w:val="center"/>
          </w:tcPr>
          <w:p>
            <w:r>
              <w:rPr>
                <w:sz w:val="19"/>
                <w:szCs w:val="19"/>
              </w:rPr>
              <w:t xml:space="preserve">—</w:t>
            </w:r>
          </w:p>
        </w:tc>
      </w:tr>
      <w:tr>
        <w:tc>
          <w:tcPr>
            <w:tcW w:type="dxa" w:w="2600"/>
            <w:shd w:fill="FFFFFF" w:val="clear"/>
            <w:tcMar>
              <w:top w:type="dxa" w:w="80"/>
              <w:left w:type="dxa" w:w="100"/>
              <w:bottom w:type="dxa" w:w="80"/>
              <w:right w:type="dxa" w:w="100"/>
            </w:tcMar>
            <w:vAlign w:val="center"/>
          </w:tcPr>
          <w:p>
            <w:r>
              <w:rPr>
                <w:sz w:val="19"/>
                <w:szCs w:val="19"/>
              </w:rPr>
              <w:t xml:space="preserve">Node.js</w:t>
            </w:r>
          </w:p>
        </w:tc>
        <w:tc>
          <w:tcPr>
            <w:tcW w:type="dxa" w:w="4600"/>
            <w:shd w:fill="FFFFFF" w:val="clear"/>
            <w:tcMar>
              <w:top w:type="dxa" w:w="80"/>
              <w:left w:type="dxa" w:w="100"/>
              <w:bottom w:type="dxa" w:w="80"/>
              <w:right w:type="dxa" w:w="100"/>
            </w:tcMar>
            <w:vAlign w:val="center"/>
          </w:tcPr>
          <w:p>
            <w:r>
              <w:rPr>
                <w:sz w:val="19"/>
                <w:szCs w:val="19"/>
              </w:rPr>
              <w:t xml:space="preserve">Runtime for the Salesforce CLI and GitHub Actions runners</w:t>
            </w:r>
          </w:p>
        </w:tc>
        <w:tc>
          <w:tcPr>
            <w:tcW w:type="dxa" w:w="2160"/>
            <w:shd w:fill="FFFFFF" w:val="clear"/>
            <w:tcMar>
              <w:top w:type="dxa" w:w="80"/>
              <w:left w:type="dxa" w:w="100"/>
              <w:bottom w:type="dxa" w:w="80"/>
              <w:right w:type="dxa" w:w="100"/>
            </w:tcMar>
            <w:vAlign w:val="center"/>
          </w:tcPr>
          <w:p>
            <w:r>
              <w:rPr>
                <w:sz w:val="19"/>
                <w:szCs w:val="19"/>
              </w:rPr>
              <w:t xml:space="preserve">22 (pinned in CI)</w:t>
            </w:r>
          </w:p>
        </w:tc>
      </w:tr>
      <w:tr>
        <w:tc>
          <w:tcPr>
            <w:tcW w:type="dxa" w:w="2600"/>
            <w:shd w:fill="F2F2F2" w:val="clear"/>
            <w:tcMar>
              <w:top w:type="dxa" w:w="80"/>
              <w:left w:type="dxa" w:w="100"/>
              <w:bottom w:type="dxa" w:w="80"/>
              <w:right w:type="dxa" w:w="100"/>
            </w:tcMar>
            <w:vAlign w:val="center"/>
          </w:tcPr>
          <w:p>
            <w:r>
              <w:rPr>
                <w:sz w:val="19"/>
                <w:szCs w:val="19"/>
              </w:rPr>
              <w:t xml:space="preserve">actionlint</w:t>
            </w:r>
          </w:p>
        </w:tc>
        <w:tc>
          <w:tcPr>
            <w:tcW w:type="dxa" w:w="4600"/>
            <w:shd w:fill="F2F2F2" w:val="clear"/>
            <w:tcMar>
              <w:top w:type="dxa" w:w="80"/>
              <w:left w:type="dxa" w:w="100"/>
              <w:bottom w:type="dxa" w:w="80"/>
              <w:right w:type="dxa" w:w="100"/>
            </w:tcMar>
            <w:vAlign w:val="center"/>
          </w:tcPr>
          <w:p>
            <w:r>
              <w:rPr>
                <w:sz w:val="19"/>
                <w:szCs w:val="19"/>
              </w:rPr>
              <w:t xml:space="preserve">Static validation of GitHub Actions workflow YAML</w:t>
            </w:r>
          </w:p>
        </w:tc>
        <w:tc>
          <w:tcPr>
            <w:tcW w:type="dxa" w:w="2160"/>
            <w:shd w:fill="F2F2F2" w:val="clear"/>
            <w:tcMar>
              <w:top w:type="dxa" w:w="80"/>
              <w:left w:type="dxa" w:w="100"/>
              <w:bottom w:type="dxa" w:w="80"/>
              <w:right w:type="dxa" w:w="100"/>
            </w:tcMar>
            <w:vAlign w:val="center"/>
          </w:tcPr>
          <w:p>
            <w:r>
              <w:rPr>
                <w:sz w:val="19"/>
                <w:szCs w:val="19"/>
              </w:rPr>
              <w:t xml:space="preserve">1.7.12</w:t>
            </w:r>
          </w:p>
        </w:tc>
      </w:tr>
    </w:tbl>
    <w:p>
      <w:pPr>
        <w:spacing w:after="160" w:line="276"/>
      </w:pPr>
      <w:r>
        <w:rPr>
          <w:sz w:val="21"/>
          <w:szCs w:val="21"/>
        </w:rPr>
        <w:t xml:space="preserve"/>
      </w:r>
    </w:p>
    <w:p>
      <w:pPr>
        <w:pStyle w:val="Heading3"/>
        <w:spacing w:after="120" w:before="240"/>
      </w:pPr>
      <w:r>
        <w:rPr>
          <w:b/>
          <w:bCs/>
          <w:color w:val="2E5AAC"/>
          <w:sz w:val="22"/>
          <w:szCs w:val="22"/>
        </w:rPr>
        <w:t xml:space="preserve">2.1 Salesforce Org Used for the Proof of Concept</w:t>
      </w:r>
    </w:p>
    <w:p>
      <w:pPr>
        <w:spacing w:after="160" w:line="276"/>
      </w:pPr>
      <w:r>
        <w:rPr>
          <w:sz w:val="21"/>
          <w:szCs w:val="21"/>
        </w:rPr>
        <w:t xml:space="preserve">A Salesforce Developer Edition / Agentforce sandbox org, aliased DevOrg, was used to build and prove out the entire pipeline before any production environment was involved:</w:t>
      </w:r>
    </w:p>
    <w:p>
      <w:pPr>
        <w:pStyle w:val="ListParagraph"/>
        <w:numPr>
          <w:ilvl w:val="0"/>
          <w:numId w:val="3"/>
        </w:numPr>
        <w:spacing w:after="80" w:line="264"/>
      </w:pPr>
      <w:r>
        <w:rPr>
          <w:sz w:val="21"/>
          <w:szCs w:val="21"/>
        </w:rPr>
        <w:t xml:space="preserve">Username: jagadeesh.dereddy.72cffba52ddd@agentforce.com</w:t>
      </w:r>
    </w:p>
    <w:p>
      <w:pPr>
        <w:pStyle w:val="ListParagraph"/>
        <w:numPr>
          <w:ilvl w:val="0"/>
          <w:numId w:val="3"/>
        </w:numPr>
        <w:spacing w:after="80" w:line="264"/>
      </w:pPr>
      <w:r>
        <w:rPr>
          <w:sz w:val="21"/>
          <w:szCs w:val="21"/>
        </w:rPr>
        <w:t xml:space="preserve">Instance: orgfarm-2889628f09-dev-ed.develop.my.salesforce.com</w:t>
      </w:r>
    </w:p>
    <w:p>
      <w:pPr>
        <w:pStyle w:val="ListParagraph"/>
        <w:numPr>
          <w:ilvl w:val="0"/>
          <w:numId w:val="3"/>
        </w:numPr>
        <w:spacing w:after="80" w:line="264"/>
      </w:pPr>
      <w:r>
        <w:rPr>
          <w:sz w:val="21"/>
          <w:szCs w:val="21"/>
        </w:rPr>
        <w:t xml:space="preserve">This org now also serves as the real “Dev” environment in the multi-environment architecture (Section 6).</w:t>
      </w:r>
    </w:p>
    <w:p>
      <w:pPr>
        <w:pStyle w:val="Heading1"/>
        <w:pBdr>
          <w:bottom w:val="single" w:color="2E5AAC" w:sz="8" w:space="4"/>
        </w:pBdr>
        <w:spacing w:after="240" w:before="480"/>
      </w:pPr>
      <w:r>
        <w:rPr>
          <w:b/>
          <w:bCs/>
          <w:color w:val="1F3864"/>
          <w:sz w:val="32"/>
          <w:szCs w:val="32"/>
        </w:rPr>
        <w:t xml:space="preserve">3. Part A — SFDX Project &amp; GitHub Repository Setup</w:t>
      </w:r>
    </w:p>
    <w:p>
      <w:pPr>
        <w:spacing w:after="160" w:line="276"/>
      </w:pPr>
      <w:r>
        <w:rPr>
          <w:sz w:val="21"/>
          <w:szCs w:val="21"/>
        </w:rPr>
        <w:t xml:space="preserve">This section documents the ground-up setup: turning a blank folder into a Salesforce DX project connected to a private GitHub repository, with a real Salesforce org's metadata inside it.</w:t>
      </w:r>
    </w:p>
    <w:p>
      <w:pPr>
        <w:pStyle w:val="Heading2"/>
        <w:spacing w:after="160" w:before="360"/>
      </w:pPr>
      <w:r>
        <w:rPr>
          <w:b/>
          <w:bCs/>
          <w:color w:val="1F3864"/>
          <w:sz w:val="26"/>
          <w:szCs w:val="26"/>
        </w:rPr>
        <w:t xml:space="preserve">3.1 Create the SFDX Project</w:t>
      </w:r>
    </w:p>
    <w:p>
      <w:pPr>
        <w:spacing w:after="160" w:line="276"/>
      </w:pPr>
      <w:r>
        <w:rPr>
          <w:sz w:val="21"/>
          <w:szCs w:val="21"/>
        </w:rPr>
        <w:t xml:space="preserve">The project was scaffolded using the standard Salesforce CLI generator, which produces the force-app source layout, a default .gitignore tuned for Salesforce projects, ESLint/Prettier/Jest config for LWC, and VS Code integration files:</w:t>
      </w:r>
    </w:p>
    <w:p>
      <w:pPr>
        <w:spacing w:after="0"/>
      </w:pPr>
    </w:p>
    <w:p>
      <w:pPr>
        <w:pBdr>
          <w:left w:val="single" w:color="BFBFBF" w:sz="12"/>
        </w:pBdr>
        <w:shd w:fill="F5F5F5" w:val="clear"/>
        <w:spacing w:after="0" w:line="240"/>
        <w:ind w:left="120"/>
      </w:pPr>
      <w:r>
        <w:rPr>
          <w:rFonts w:ascii="Consolas" w:cs="Consolas" w:eastAsia="Consolas" w:hAnsi="Consolas"/>
          <w:color w:val="1A1A1A"/>
          <w:sz w:val="15"/>
          <w:szCs w:val="15"/>
        </w:rPr>
        <w:t xml:space="preserve">sf project generate --name salesforce-org --default-package-dir force-app</w:t>
      </w:r>
    </w:p>
    <w:p>
      <w:pPr>
        <w:spacing w:after="160"/>
      </w:pPr>
    </w:p>
    <w:p>
      <w:pPr>
        <w:spacing w:after="160" w:line="276"/>
      </w:pPr>
      <w:r>
        <w:rPr>
          <w:sz w:val="21"/>
          <w:szCs w:val="21"/>
        </w:rPr>
        <w:t xml:space="preserve">This created:</w:t>
      </w:r>
    </w:p>
    <w:p>
      <w:pPr>
        <w:pStyle w:val="ListParagraph"/>
        <w:numPr>
          <w:ilvl w:val="0"/>
          <w:numId w:val="3"/>
        </w:numPr>
        <w:spacing w:after="80" w:line="264"/>
      </w:pPr>
      <w:r>
        <w:rPr>
          <w:sz w:val="21"/>
          <w:szCs w:val="21"/>
        </w:rPr>
        <w:t xml:space="preserve">force-app/ — the default package directory for all metadata</w:t>
      </w:r>
    </w:p>
    <w:p>
      <w:pPr>
        <w:pStyle w:val="ListParagraph"/>
        <w:numPr>
          <w:ilvl w:val="0"/>
          <w:numId w:val="3"/>
        </w:numPr>
        <w:spacing w:after="80" w:line="264"/>
      </w:pPr>
      <w:r>
        <w:rPr>
          <w:sz w:val="21"/>
          <w:szCs w:val="21"/>
        </w:rPr>
        <w:t xml:space="preserve">sfdx-project.json — project manifest (package directories, API version, login URL)</w:t>
      </w:r>
    </w:p>
    <w:p>
      <w:pPr>
        <w:pStyle w:val="ListParagraph"/>
        <w:numPr>
          <w:ilvl w:val="0"/>
          <w:numId w:val="3"/>
        </w:numPr>
        <w:spacing w:after="80" w:line="264"/>
      </w:pPr>
      <w:r>
        <w:rPr>
          <w:sz w:val="21"/>
          <w:szCs w:val="21"/>
        </w:rPr>
        <w:t xml:space="preserve">.forceignore — controls what source:retrieve/deploy ignores</w:t>
      </w:r>
    </w:p>
    <w:p>
      <w:pPr>
        <w:pStyle w:val="ListParagraph"/>
        <w:numPr>
          <w:ilvl w:val="0"/>
          <w:numId w:val="3"/>
        </w:numPr>
        <w:spacing w:after="80" w:line="264"/>
      </w:pPr>
      <w:r>
        <w:rPr>
          <w:sz w:val="21"/>
          <w:szCs w:val="21"/>
        </w:rPr>
        <w:t xml:space="preserve">.vscode/ — recommended extensions, debug launch config, editor settings</w:t>
      </w:r>
    </w:p>
    <w:p>
      <w:pPr>
        <w:pStyle w:val="ListParagraph"/>
        <w:numPr>
          <w:ilvl w:val="0"/>
          <w:numId w:val="3"/>
        </w:numPr>
        <w:spacing w:after="80" w:line="264"/>
      </w:pPr>
      <w:r>
        <w:rPr>
          <w:sz w:val="21"/>
          <w:szCs w:val="21"/>
        </w:rPr>
        <w:t xml:space="preserve">.gitignore — pre-populated with Salesforce-specific ignores (.sf/, .sfdx/, node_modules/, etc.)</w:t>
      </w:r>
    </w:p>
    <w:p>
      <w:pPr>
        <w:pStyle w:val="Heading2"/>
        <w:spacing w:after="160" w:before="360"/>
      </w:pPr>
      <w:r>
        <w:rPr>
          <w:b/>
          <w:bCs/>
          <w:color w:val="1F3864"/>
          <w:sz w:val="26"/>
          <w:szCs w:val="26"/>
        </w:rPr>
        <w:t xml:space="preserve">3.2 Initialize Git and Create the GitHub Repository</w:t>
      </w:r>
    </w:p>
    <w:p>
      <w:pPr>
        <w:spacing w:after="0"/>
      </w:pPr>
    </w:p>
    <w:p>
      <w:pPr>
        <w:pBdr>
          <w:left w:val="single" w:color="BFBFBF" w:sz="12"/>
        </w:pBdr>
        <w:shd w:fill="F5F5F5" w:val="clear"/>
        <w:spacing w:after="0" w:line="240"/>
        <w:ind w:left="120"/>
      </w:pPr>
      <w:r>
        <w:rPr>
          <w:rFonts w:ascii="Consolas" w:cs="Consolas" w:eastAsia="Consolas" w:hAnsi="Consolas"/>
          <w:color w:val="1A1A1A"/>
          <w:sz w:val="15"/>
          <w:szCs w:val="15"/>
        </w:rPr>
        <w:t xml:space="preserve">git init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git add -A</w:t>
      </w:r>
    </w:p>
    <w:p>
      <w:pPr>
        <w:pBdr>
          <w:left w:val="single" w:color="BFBFBF" w:sz="12"/>
        </w:pBdr>
        <w:shd w:fill="F5F5F5" w:val="clear"/>
        <w:spacing w:after="0" w:line="240"/>
        <w:ind w:left="120"/>
      </w:pPr>
      <w:r>
        <w:rPr>
          <w:rFonts w:ascii="Consolas" w:cs="Consolas" w:eastAsia="Consolas" w:hAnsi="Consolas"/>
          <w:color w:val="1A1A1A"/>
          <w:sz w:val="15"/>
          <w:szCs w:val="15"/>
        </w:rPr>
        <w:t xml:space="preserve">git commit -m "Initial SFDX project scaffold"</w:t>
      </w:r>
    </w:p>
    <w:p>
      <w:pPr>
        <w:spacing w:after="160"/>
      </w:pPr>
    </w:p>
    <w:p>
      <w:pPr>
        <w:spacing w:after="160" w:line="276"/>
      </w:pPr>
      <w:r>
        <w:rPr>
          <w:sz w:val="21"/>
          <w:szCs w:val="21"/>
        </w:rPr>
        <w:t xml:space="preserve">The GitHub repository was created and the initial commit pushed using the GitHub CLI (installed via Homebrew for this purpose, with authentication done interactively via gh auth login using the web browser device-code flow):</w:t>
      </w:r>
    </w:p>
    <w:p>
      <w:pPr>
        <w:spacing w:after="0"/>
      </w:pPr>
    </w:p>
    <w:p>
      <w:pPr>
        <w:pBdr>
          <w:left w:val="single" w:color="BFBFBF" w:sz="12"/>
        </w:pBdr>
        <w:shd w:fill="F5F5F5" w:val="clear"/>
        <w:spacing w:after="0" w:line="240"/>
        <w:ind w:left="120"/>
      </w:pPr>
      <w:r>
        <w:rPr>
          <w:rFonts w:ascii="Consolas" w:cs="Consolas" w:eastAsia="Consolas" w:hAnsi="Consolas"/>
          <w:color w:val="1A1A1A"/>
          <w:sz w:val="15"/>
          <w:szCs w:val="15"/>
        </w:rPr>
        <w:t xml:space="preserve">brew install gh</w:t>
      </w:r>
    </w:p>
    <w:p>
      <w:pPr>
        <w:pBdr>
          <w:left w:val="single" w:color="BFBFBF" w:sz="12"/>
        </w:pBdr>
        <w:shd w:fill="F5F5F5" w:val="clear"/>
        <w:spacing w:after="0" w:line="240"/>
        <w:ind w:left="120"/>
      </w:pPr>
      <w:r>
        <w:rPr>
          <w:rFonts w:ascii="Consolas" w:cs="Consolas" w:eastAsia="Consolas" w:hAnsi="Consolas"/>
          <w:color w:val="1A1A1A"/>
          <w:sz w:val="15"/>
          <w:szCs w:val="15"/>
        </w:rPr>
        <w:t xml:space="preserve">gh auth login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gh repo create salesforce-org --private --source=. --remote=origin --push</w:t>
      </w:r>
    </w:p>
    <w:p>
      <w:pPr>
        <w:spacing w:after="160"/>
      </w:pPr>
    </w:p>
    <w:tbl>
      <w:tblPr>
        <w:tblW w:type="dxa" w:w="9360"/>
        <w:tblBorders>
          <w:top w:val="single" w:color="B45309" w:sz="4"/>
          <w:left w:val="single" w:color="B45309" w:sz="24"/>
          <w:bottom w:val="single" w:color="B45309" w:sz="4"/>
          <w:right w:val="single" w:color="B45309" w:sz="4"/>
          <w:insideH w:val="single" w:color="auto" w:sz="4"/>
          <w:insideV w:val="single" w:color="auto" w:sz="4"/>
        </w:tblBorders>
      </w:tblPr>
      <w:tblGrid>
        <w:gridCol w:w="9360"/>
      </w:tblGrid>
      <w:tr>
        <w:tc>
          <w:tcPr>
            <w:tcW w:type="dxa" w:w="9360"/>
            <w:shd w:fill="F2F2F2" w:val="clear"/>
            <w:tcMar>
              <w:top w:type="dxa" w:w="120"/>
              <w:left w:type="dxa" w:w="200"/>
              <w:bottom w:type="dxa" w:w="120"/>
              <w:right w:type="dxa" w:w="200"/>
            </w:tcMar>
          </w:tcPr>
          <w:p>
            <w:pPr>
              <w:spacing w:after="60"/>
            </w:pPr>
            <w:r>
              <w:rPr>
                <w:b/>
                <w:bCs/>
                <w:color w:val="B45309"/>
                <w:sz w:val="20"/>
                <w:szCs w:val="20"/>
              </w:rPr>
              <w:t xml:space="preserve">Note on repository visibility</w:t>
            </w:r>
          </w:p>
          <w:p>
            <w:pPr>
              <w:spacing w:after="0"/>
            </w:pPr>
            <w:r>
              <w:rPr>
                <w:color w:val="333333"/>
                <w:sz w:val="20"/>
                <w:szCs w:val="20"/>
              </w:rPr>
              <w:t xml:space="preserve">The repository was later switched from private to public. Free GitHub plans only support branch protection rules (required reviews, required status checks) on public repositories — private repos need a paid plan for that feature. Since this project contains no secrets in source (all credentials live in GitHub Secrets, never in the repo), making it public was judged low-risk and was an explicit decision, not a default.</w:t>
            </w:r>
          </w:p>
        </w:tc>
      </w:tr>
    </w:tbl>
    <w:p>
      <w:pPr>
        <w:spacing w:after="160" w:line="276"/>
      </w:pPr>
      <w:r>
        <w:rPr>
          <w:sz w:val="21"/>
          <w:szCs w:val="21"/>
        </w:rPr>
        <w:t xml:space="preserve"/>
      </w:r>
    </w:p>
    <w:p>
      <w:pPr>
        <w:pStyle w:val="Heading2"/>
        <w:spacing w:after="160" w:before="360"/>
      </w:pPr>
      <w:r>
        <w:rPr>
          <w:b/>
          <w:bCs/>
          <w:color w:val="1F3864"/>
          <w:sz w:val="26"/>
          <w:szCs w:val="26"/>
        </w:rPr>
        <w:t xml:space="preserve">3.3 Connect Visual Studio Code</w:t>
      </w:r>
    </w:p>
    <w:p>
      <w:pPr>
        <w:spacing w:after="160" w:line="276"/>
      </w:pPr>
      <w:r>
        <w:rPr>
          <w:sz w:val="21"/>
          <w:szCs w:val="21"/>
        </w:rPr>
        <w:t xml:space="preserve">The Salesforce Extension Pack was already installed in VS Code (salesforce.salesforcedx-vscode and related extensions). The project folder was opened directly in VS Code, giving access to Apex language support, org browsing, and one-click deploy/retrieve from the editor.</w:t>
      </w:r>
    </w:p>
    <w:p>
      <w:pPr>
        <w:pStyle w:val="Heading2"/>
        <w:spacing w:after="160" w:before="360"/>
      </w:pPr>
      <w:r>
        <w:rPr>
          <w:b/>
          <w:bCs/>
          <w:color w:val="1F3864"/>
          <w:sz w:val="26"/>
          <w:szCs w:val="26"/>
        </w:rPr>
        <w:t xml:space="preserve">3.4 Retrieve Metadata from the Org</w:t>
      </w:r>
    </w:p>
    <w:p>
      <w:pPr>
        <w:spacing w:after="160" w:line="276"/>
      </w:pPr>
      <w:r>
        <w:rPr>
          <w:sz w:val="21"/>
          <w:szCs w:val="21"/>
        </w:rPr>
        <w:t xml:space="preserve">With the Dev org already authenticated via the standard web-based login (sf org login web, aliased DevOrg), a full manifest of everything in the org was generated and then retrieved into the project:</w:t>
      </w:r>
    </w:p>
    <w:p>
      <w:pPr>
        <w:spacing w:after="0"/>
      </w:pPr>
    </w:p>
    <w:p>
      <w:pPr>
        <w:pBdr>
          <w:left w:val="single" w:color="BFBFBF" w:sz="12"/>
        </w:pBdr>
        <w:shd w:fill="F5F5F5" w:val="clear"/>
        <w:spacing w:after="0" w:line="240"/>
        <w:ind w:left="120"/>
      </w:pPr>
      <w:r>
        <w:rPr>
          <w:rFonts w:ascii="Consolas" w:cs="Consolas" w:eastAsia="Consolas" w:hAnsi="Consolas"/>
          <w:color w:val="1A1A1A"/>
          <w:sz w:val="15"/>
          <w:szCs w:val="15"/>
        </w:rPr>
        <w:t xml:space="preserve"># Generate a package.xml listing every metadata component in the org</w:t>
      </w:r>
    </w:p>
    <w:p>
      <w:pPr>
        <w:pBdr>
          <w:left w:val="single" w:color="BFBFBF" w:sz="12"/>
        </w:pBdr>
        <w:shd w:fill="F5F5F5" w:val="clear"/>
        <w:spacing w:after="0" w:line="240"/>
        <w:ind w:left="120"/>
      </w:pPr>
      <w:r>
        <w:rPr>
          <w:rFonts w:ascii="Consolas" w:cs="Consolas" w:eastAsia="Consolas" w:hAnsi="Consolas"/>
          <w:color w:val="1A1A1A"/>
          <w:sz w:val="15"/>
          <w:szCs w:val="15"/>
        </w:rPr>
        <w:t xml:space="preserve">sf project generate manifest --from-org DevOrg --output-dir manifest --name package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Retrieve the actual source for everything listed in that manifest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sf project retrieve start --manifest manifest/package.xml --target-org DevOrg</w:t>
      </w:r>
    </w:p>
    <w:p>
      <w:pPr>
        <w:spacing w:after="160"/>
      </w:pPr>
    </w:p>
    <w:p>
      <w:pPr>
        <w:spacing w:after="160" w:line="276"/>
      </w:pPr>
      <w:r>
        <w:rPr>
          <w:sz w:val="21"/>
          <w:szCs w:val="21"/>
        </w:rPr>
        <w:t xml:space="preserve">This pulled 4,736 files (~29 MB) into force-app/main/default — objects, classes, flows, settings, layouts, and all other customizations present in the org at that time. A handful of non-fatal warnings were produced (missing access to certain Dashboards/Layouts, and an unsupported Dutch translation of a standard value set); neither affected the retrieve of anything relevant to this project.</w:t>
      </w:r>
    </w:p>
    <w:p>
      <w:pPr>
        <w:spacing w:after="160" w:line="276"/>
      </w:pPr>
      <w:r>
        <w:rPr>
          <w:sz w:val="21"/>
          <w:szCs w:val="21"/>
        </w:rPr>
        <w:t xml:space="preserve">The project's default org was then set so that both the CLI and VS Code's Salesforce extensions target it automatically:</w:t>
      </w:r>
    </w:p>
    <w:p>
      <w:pPr>
        <w:spacing w:after="0"/>
      </w:pPr>
    </w:p>
    <w:p>
      <w:pPr>
        <w:pBdr>
          <w:left w:val="single" w:color="BFBFBF" w:sz="12"/>
        </w:pBdr>
        <w:shd w:fill="F5F5F5" w:val="clear"/>
        <w:spacing w:after="0" w:line="240"/>
        <w:ind w:left="120"/>
      </w:pPr>
      <w:r>
        <w:rPr>
          <w:rFonts w:ascii="Consolas" w:cs="Consolas" w:eastAsia="Consolas" w:hAnsi="Consolas"/>
          <w:color w:val="1A1A1A"/>
          <w:sz w:val="15"/>
          <w:szCs w:val="15"/>
        </w:rPr>
        <w:t xml:space="preserve">sf config set target-org DevOrg</w:t>
      </w:r>
    </w:p>
    <w:p>
      <w:pPr>
        <w:spacing w:after="160"/>
      </w:pPr>
    </w:p>
    <w:p>
      <w:pPr>
        <w:pStyle w:val="Heading1"/>
        <w:pBdr>
          <w:bottom w:val="single" w:color="2E5AAC" w:sz="8" w:space="4"/>
        </w:pBdr>
        <w:spacing w:after="240" w:before="480"/>
      </w:pPr>
      <w:r>
        <w:rPr>
          <w:b/>
          <w:bCs/>
          <w:color w:val="1F3864"/>
          <w:sz w:val="32"/>
          <w:szCs w:val="32"/>
        </w:rPr>
        <w:t xml:space="preserve">4. Salesforce Connected App &amp; JWT Authentication</w:t>
      </w:r>
    </w:p>
    <w:p>
      <w:pPr>
        <w:spacing w:after="160" w:line="276"/>
      </w:pPr>
      <w:r>
        <w:rPr>
          <w:sz w:val="21"/>
          <w:szCs w:val="21"/>
        </w:rPr>
        <w:t xml:space="preserve">GitHub Actions runners cannot complete an interactive, browser-based Salesforce login. The standard solution — and the one used here — is the OAuth 2.0 JWT Bearer Flow: a Connected App configured with a digital certificate authenticates non-interactively using a private key stored as a GitHub Secret, never a password.</w:t>
      </w:r>
    </w:p>
    <w:p>
      <w:pPr>
        <w:pStyle w:val="Heading2"/>
        <w:spacing w:after="160" w:before="360"/>
      </w:pPr>
      <w:r>
        <w:rPr>
          <w:b/>
          <w:bCs/>
          <w:color w:val="1F3864"/>
          <w:sz w:val="26"/>
          <w:szCs w:val="26"/>
        </w:rPr>
        <w:t xml:space="preserve">4.1 Generate a Certificate Key Pair</w:t>
      </w:r>
    </w:p>
    <w:p>
      <w:pPr>
        <w:spacing w:after="160" w:line="276"/>
      </w:pPr>
      <w:r>
        <w:rPr>
          <w:sz w:val="21"/>
          <w:szCs w:val="21"/>
        </w:rPr>
        <w:t xml:space="preserve">A self-signed certificate and private key were generated locally with OpenSSL, following Salesforce's standard JWT setup documentation. The private key (server.key) is the secret that GitHub Actions later uses to authenticate; the public certificate (server.crt) is uploaded to the Connected App in Salesforce.</w:t>
      </w:r>
    </w:p>
    <w:p>
      <w:pPr>
        <w:pStyle w:val="Heading2"/>
        <w:spacing w:after="160" w:before="360"/>
      </w:pPr>
      <w:r>
        <w:rPr>
          <w:b/>
          <w:bCs/>
          <w:color w:val="1F3864"/>
          <w:sz w:val="26"/>
          <w:szCs w:val="26"/>
        </w:rPr>
        <w:t xml:space="preserve">4.2 Create the Connected App</w:t>
      </w:r>
    </w:p>
    <w:p>
      <w:pPr>
        <w:spacing w:after="160" w:line="276"/>
      </w:pPr>
      <w:r>
        <w:rPr>
          <w:sz w:val="21"/>
          <w:szCs w:val="21"/>
        </w:rPr>
        <w:t xml:space="preserve">In Salesforce Setup → App Manager → New Connected App:</w:t>
      </w:r>
    </w:p>
    <w:p>
      <w:pPr>
        <w:pStyle w:val="ListParagraph"/>
        <w:numPr>
          <w:ilvl w:val="0"/>
          <w:numId w:val="2"/>
        </w:numPr>
        <w:spacing w:after="80" w:line="264"/>
      </w:pPr>
      <w:r>
        <w:rPr>
          <w:sz w:val="21"/>
          <w:szCs w:val="21"/>
        </w:rPr>
        <w:t xml:space="preserve">Name: GitHubActionsCI</w:t>
      </w:r>
    </w:p>
    <w:p>
      <w:pPr>
        <w:pStyle w:val="ListParagraph"/>
        <w:numPr>
          <w:ilvl w:val="0"/>
          <w:numId w:val="2"/>
        </w:numPr>
        <w:spacing w:after="80" w:line="264"/>
      </w:pPr>
      <w:r>
        <w:rPr>
          <w:sz w:val="21"/>
          <w:szCs w:val="21"/>
        </w:rPr>
        <w:t xml:space="preserve">Enable OAuth Settings: checked</w:t>
      </w:r>
    </w:p>
    <w:p>
      <w:pPr>
        <w:pStyle w:val="ListParagraph"/>
        <w:numPr>
          <w:ilvl w:val="0"/>
          <w:numId w:val="2"/>
        </w:numPr>
        <w:spacing w:after="80" w:line="264"/>
      </w:pPr>
      <w:r>
        <w:rPr>
          <w:sz w:val="21"/>
          <w:szCs w:val="21"/>
        </w:rPr>
        <w:t xml:space="preserve">Callback URL: http://localhost:1717/OauthRedirect (required by the form, unused by the JWT flow itself)</w:t>
      </w:r>
    </w:p>
    <w:p>
      <w:pPr>
        <w:pStyle w:val="ListParagraph"/>
        <w:numPr>
          <w:ilvl w:val="0"/>
          <w:numId w:val="2"/>
        </w:numPr>
        <w:spacing w:after="80" w:line="264"/>
      </w:pPr>
      <w:r>
        <w:rPr>
          <w:sz w:val="21"/>
          <w:szCs w:val="21"/>
        </w:rPr>
        <w:t xml:space="preserve">Use digital signatures: checked, with server.crt uploaded</w:t>
      </w:r>
    </w:p>
    <w:p>
      <w:pPr>
        <w:pStyle w:val="ListParagraph"/>
        <w:numPr>
          <w:ilvl w:val="0"/>
          <w:numId w:val="2"/>
        </w:numPr>
        <w:spacing w:after="80" w:line="264"/>
      </w:pPr>
      <w:r>
        <w:rPr>
          <w:sz w:val="21"/>
          <w:szCs w:val="21"/>
        </w:rPr>
        <w:t xml:space="preserve">Selected OAuth Scopes: initially “Full access (full)” only — this had to be corrected (see Section 8.3).</w:t>
      </w:r>
    </w:p>
    <w:p>
      <w:pPr>
        <w:pStyle w:val="ListParagraph"/>
        <w:numPr>
          <w:ilvl w:val="0"/>
          <w:numId w:val="2"/>
        </w:numPr>
        <w:spacing w:after="80" w:line="264"/>
      </w:pPr>
      <w:r>
        <w:rPr>
          <w:sz w:val="21"/>
          <w:szCs w:val="21"/>
        </w:rPr>
        <w:t xml:space="preserve">Consumer Key (Client ID): copied for use as the SF_CLIENT_ID secret</w:t>
      </w:r>
    </w:p>
    <w:p>
      <w:pPr>
        <w:pStyle w:val="Heading2"/>
        <w:spacing w:after="160" w:before="360"/>
      </w:pPr>
      <w:r>
        <w:rPr>
          <w:b/>
          <w:bCs/>
          <w:color w:val="1F3864"/>
          <w:sz w:val="26"/>
          <w:szCs w:val="26"/>
        </w:rPr>
        <w:t xml:space="preserve">4.3 Configure Connected App Policies</w:t>
      </w:r>
    </w:p>
    <w:p>
      <w:pPr>
        <w:spacing w:after="160" w:line="276"/>
      </w:pPr>
      <w:r>
        <w:rPr>
          <w:sz w:val="21"/>
          <w:szCs w:val="21"/>
        </w:rPr>
        <w:t xml:space="preserve">After creation, two settings under Manage → Edit Policies were required before the JWT flow would actually succeed:</w:t>
      </w:r>
    </w:p>
    <w:p>
      <w:pPr>
        <w:pStyle w:val="ListParagraph"/>
        <w:numPr>
          <w:ilvl w:val="0"/>
          <w:numId w:val="3"/>
        </w:numPr>
        <w:spacing w:after="80" w:line="264"/>
      </w:pPr>
      <w:r>
        <w:rPr>
          <w:b/>
          <w:bCs/>
          <w:sz w:val="21"/>
          <w:szCs w:val="21"/>
        </w:rPr>
        <w:t xml:space="preserve">Permitted Users: </w:t>
      </w:r>
      <w:r>
        <w:rPr>
          <w:sz w:val="21"/>
          <w:szCs w:val="21"/>
        </w:rPr>
        <w:t xml:space="preserve">changed to “Admin approved users are pre-authorized”, with the running user's profile added under Manage Profiles. Without this, authentication failed with “user is not admin approved to access this app”.</w:t>
      </w:r>
    </w:p>
    <w:p>
      <w:pPr>
        <w:pStyle w:val="ListParagraph"/>
        <w:numPr>
          <w:ilvl w:val="0"/>
          <w:numId w:val="3"/>
        </w:numPr>
        <w:spacing w:after="80" w:line="264"/>
      </w:pPr>
      <w:r>
        <w:rPr>
          <w:b/>
          <w:bCs/>
          <w:sz w:val="21"/>
          <w:szCs w:val="21"/>
        </w:rPr>
        <w:t xml:space="preserve">OAuth Scopes: </w:t>
      </w:r>
      <w:r>
        <w:rPr>
          <w:sz w:val="21"/>
          <w:szCs w:val="21"/>
        </w:rPr>
        <w:t xml:space="preserve">“Perform requests on your behalf at any time (refresh_token, offline_access)” had to be added in addition to Full access. Without it, authentication failed with “refresh_token scope is required and the connected app should be installed and preauthorized” — the JWT Bearer Flow requires this scope explicitly even though it does not use a refresh token in the traditional sense.</w:t>
      </w:r>
    </w:p>
    <w:tbl>
      <w:tblPr>
        <w:tblW w:type="dxa" w:w="9360"/>
        <w:tblBorders>
          <w:top w:val="single" w:color="B45309" w:sz="4"/>
          <w:left w:val="single" w:color="B45309" w:sz="24"/>
          <w:bottom w:val="single" w:color="B45309" w:sz="4"/>
          <w:right w:val="single" w:color="B45309" w:sz="4"/>
          <w:insideH w:val="single" w:color="auto" w:sz="4"/>
          <w:insideV w:val="single" w:color="auto" w:sz="4"/>
        </w:tblBorders>
      </w:tblPr>
      <w:tblGrid>
        <w:gridCol w:w="9360"/>
      </w:tblGrid>
      <w:tr>
        <w:tc>
          <w:tcPr>
            <w:tcW w:type="dxa" w:w="9360"/>
            <w:shd w:fill="F2F2F2" w:val="clear"/>
            <w:tcMar>
              <w:top w:type="dxa" w:w="120"/>
              <w:left w:type="dxa" w:w="200"/>
              <w:bottom w:type="dxa" w:w="120"/>
              <w:right w:type="dxa" w:w="200"/>
            </w:tcMar>
          </w:tcPr>
          <w:p>
            <w:pPr>
              <w:spacing w:after="60"/>
            </w:pPr>
            <w:r>
              <w:rPr>
                <w:b/>
                <w:bCs/>
                <w:color w:val="B45309"/>
                <w:sz w:val="20"/>
                <w:szCs w:val="20"/>
              </w:rPr>
              <w:t xml:space="preserve">Security recommendation for real environments</w:t>
            </w:r>
          </w:p>
          <w:p>
            <w:pPr>
              <w:spacing w:after="0"/>
            </w:pPr>
            <w:r>
              <w:rPr>
                <w:color w:val="333333"/>
                <w:sz w:val="20"/>
                <w:szCs w:val="20"/>
              </w:rPr>
              <w:t xml:space="preserve">“Full access (full)” is broader than this pipeline needs. When creating the equivalent Connected App for QA, UAT, and especially Production, scope it down to the minimum required (typically api + the refresh_token/offline_access scope above) rather than reusing Full access.</w:t>
            </w:r>
          </w:p>
        </w:tc>
      </w:tr>
    </w:tbl>
    <w:p>
      <w:pPr>
        <w:spacing w:after="160" w:line="276"/>
      </w:pPr>
      <w:r>
        <w:rPr>
          <w:sz w:val="21"/>
          <w:szCs w:val="21"/>
        </w:rPr>
        <w:t xml:space="preserve"/>
      </w:r>
    </w:p>
    <w:p>
      <w:pPr>
        <w:pStyle w:val="Heading2"/>
        <w:spacing w:after="160" w:before="360"/>
      </w:pPr>
      <w:r>
        <w:rPr>
          <w:b/>
          <w:bCs/>
          <w:color w:val="1F3864"/>
          <w:sz w:val="26"/>
          <w:szCs w:val="26"/>
        </w:rPr>
        <w:t xml:space="preserve">4.4 Store Credentials as GitHub Secrets</w:t>
      </w:r>
    </w:p>
    <w:p>
      <w:pPr>
        <w:spacing w:after="160" w:line="276"/>
      </w:pPr>
      <w:r>
        <w:rPr>
          <w:sz w:val="21"/>
          <w:szCs w:val="21"/>
        </w:rPr>
        <w:t xml:space="preserve">Four secrets are required per environment. At the repository level (used as the fallback for the Dev environment, see Section 6.3):</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1F3864" w:val="clear"/>
            <w:tcMar>
              <w:top w:type="dxa" w:w="80"/>
              <w:left w:type="dxa" w:w="100"/>
              <w:bottom w:type="dxa" w:w="80"/>
              <w:right w:type="dxa" w:w="100"/>
            </w:tcMar>
            <w:vAlign w:val="center"/>
          </w:tcPr>
          <w:p>
            <w:r>
              <w:rPr>
                <w:b/>
                <w:bCs/>
                <w:color w:val="FFFFFF"/>
                <w:sz w:val="19"/>
                <w:szCs w:val="19"/>
              </w:rPr>
              <w:t xml:space="preserve">Secret name</w:t>
            </w:r>
          </w:p>
        </w:tc>
        <w:tc>
          <w:tcPr>
            <w:tcW w:type="dxa" w:w="6360"/>
            <w:shd w:fill="1F3864" w:val="clear"/>
            <w:tcMar>
              <w:top w:type="dxa" w:w="80"/>
              <w:left w:type="dxa" w:w="100"/>
              <w:bottom w:type="dxa" w:w="80"/>
              <w:right w:type="dxa" w:w="100"/>
            </w:tcMar>
            <w:vAlign w:val="center"/>
          </w:tcPr>
          <w:p>
            <w:r>
              <w:rPr>
                <w:b/>
                <w:bCs/>
                <w:color w:val="FFFFFF"/>
                <w:sz w:val="19"/>
                <w:szCs w:val="19"/>
              </w:rPr>
              <w:t xml:space="preserve">Value</w:t>
            </w:r>
          </w:p>
        </w:tc>
      </w:tr>
      <w:tr>
        <w:tc>
          <w:tcPr>
            <w:tcW w:type="dxa" w:w="3000"/>
            <w:shd w:fill="FFFFFF" w:val="clear"/>
            <w:tcMar>
              <w:top w:type="dxa" w:w="80"/>
              <w:left w:type="dxa" w:w="100"/>
              <w:bottom w:type="dxa" w:w="80"/>
              <w:right w:type="dxa" w:w="100"/>
            </w:tcMar>
            <w:vAlign w:val="center"/>
          </w:tcPr>
          <w:p>
            <w:r>
              <w:rPr>
                <w:sz w:val="19"/>
                <w:szCs w:val="19"/>
              </w:rPr>
              <w:t xml:space="preserve">SF_CLIENT_ID</w:t>
            </w:r>
          </w:p>
        </w:tc>
        <w:tc>
          <w:tcPr>
            <w:tcW w:type="dxa" w:w="6360"/>
            <w:shd w:fill="FFFFFF" w:val="clear"/>
            <w:tcMar>
              <w:top w:type="dxa" w:w="80"/>
              <w:left w:type="dxa" w:w="100"/>
              <w:bottom w:type="dxa" w:w="80"/>
              <w:right w:type="dxa" w:w="100"/>
            </w:tcMar>
            <w:vAlign w:val="center"/>
          </w:tcPr>
          <w:p>
            <w:r>
              <w:rPr>
                <w:sz w:val="19"/>
                <w:szCs w:val="19"/>
              </w:rPr>
              <w:t xml:space="preserve">Consumer Key from the Connected App</w:t>
            </w:r>
          </w:p>
        </w:tc>
      </w:tr>
      <w:tr>
        <w:tc>
          <w:tcPr>
            <w:tcW w:type="dxa" w:w="3000"/>
            <w:shd w:fill="F2F2F2" w:val="clear"/>
            <w:tcMar>
              <w:top w:type="dxa" w:w="80"/>
              <w:left w:type="dxa" w:w="100"/>
              <w:bottom w:type="dxa" w:w="80"/>
              <w:right w:type="dxa" w:w="100"/>
            </w:tcMar>
            <w:vAlign w:val="center"/>
          </w:tcPr>
          <w:p>
            <w:r>
              <w:rPr>
                <w:sz w:val="19"/>
                <w:szCs w:val="19"/>
              </w:rPr>
              <w:t xml:space="preserve">SF_USERNAME</w:t>
            </w:r>
          </w:p>
        </w:tc>
        <w:tc>
          <w:tcPr>
            <w:tcW w:type="dxa" w:w="6360"/>
            <w:shd w:fill="F2F2F2" w:val="clear"/>
            <w:tcMar>
              <w:top w:type="dxa" w:w="80"/>
              <w:left w:type="dxa" w:w="100"/>
              <w:bottom w:type="dxa" w:w="80"/>
              <w:right w:type="dxa" w:w="100"/>
            </w:tcMar>
            <w:vAlign w:val="center"/>
          </w:tcPr>
          <w:p>
            <w:r>
              <w:rPr>
                <w:sz w:val="19"/>
                <w:szCs w:val="19"/>
              </w:rPr>
              <w:t xml:space="preserve">Salesforce org username</w:t>
            </w:r>
          </w:p>
        </w:tc>
      </w:tr>
      <w:tr>
        <w:tc>
          <w:tcPr>
            <w:tcW w:type="dxa" w:w="3000"/>
            <w:shd w:fill="FFFFFF" w:val="clear"/>
            <w:tcMar>
              <w:top w:type="dxa" w:w="80"/>
              <w:left w:type="dxa" w:w="100"/>
              <w:bottom w:type="dxa" w:w="80"/>
              <w:right w:type="dxa" w:w="100"/>
            </w:tcMar>
            <w:vAlign w:val="center"/>
          </w:tcPr>
          <w:p>
            <w:r>
              <w:rPr>
                <w:sz w:val="19"/>
                <w:szCs w:val="19"/>
              </w:rPr>
              <w:t xml:space="preserve">SF_INSTANCE_URL</w:t>
            </w:r>
          </w:p>
        </w:tc>
        <w:tc>
          <w:tcPr>
            <w:tcW w:type="dxa" w:w="6360"/>
            <w:shd w:fill="FFFFFF" w:val="clear"/>
            <w:tcMar>
              <w:top w:type="dxa" w:w="80"/>
              <w:left w:type="dxa" w:w="100"/>
              <w:bottom w:type="dxa" w:w="80"/>
              <w:right w:type="dxa" w:w="100"/>
            </w:tcMar>
            <w:vAlign w:val="center"/>
          </w:tcPr>
          <w:p>
            <w:r>
              <w:rPr>
                <w:sz w:val="19"/>
                <w:szCs w:val="19"/>
              </w:rPr>
              <w:t xml:space="preserve">https://login.salesforce.com (or https://test.salesforce.com for sandboxes)</w:t>
            </w:r>
          </w:p>
        </w:tc>
      </w:tr>
      <w:tr>
        <w:tc>
          <w:tcPr>
            <w:tcW w:type="dxa" w:w="3000"/>
            <w:shd w:fill="F2F2F2" w:val="clear"/>
            <w:tcMar>
              <w:top w:type="dxa" w:w="80"/>
              <w:left w:type="dxa" w:w="100"/>
              <w:bottom w:type="dxa" w:w="80"/>
              <w:right w:type="dxa" w:w="100"/>
            </w:tcMar>
            <w:vAlign w:val="center"/>
          </w:tcPr>
          <w:p>
            <w:r>
              <w:rPr>
                <w:sz w:val="19"/>
                <w:szCs w:val="19"/>
              </w:rPr>
              <w:t xml:space="preserve">SF_JWT_KEY</w:t>
            </w:r>
          </w:p>
        </w:tc>
        <w:tc>
          <w:tcPr>
            <w:tcW w:type="dxa" w:w="6360"/>
            <w:shd w:fill="F2F2F2" w:val="clear"/>
            <w:tcMar>
              <w:top w:type="dxa" w:w="80"/>
              <w:left w:type="dxa" w:w="100"/>
              <w:bottom w:type="dxa" w:w="80"/>
              <w:right w:type="dxa" w:w="100"/>
            </w:tcMar>
            <w:vAlign w:val="center"/>
          </w:tcPr>
          <w:p>
            <w:r>
              <w:rPr>
                <w:sz w:val="19"/>
                <w:szCs w:val="19"/>
              </w:rPr>
              <w:t xml:space="preserve">Full contents of server.key, including the BEGIN/END lines</w:t>
            </w:r>
          </w:p>
        </w:tc>
      </w:tr>
    </w:tbl>
    <w:p>
      <w:pPr>
        <w:pStyle w:val="Heading1"/>
        <w:pBdr>
          <w:bottom w:val="single" w:color="2E5AAC" w:sz="8" w:space="4"/>
        </w:pBdr>
        <w:spacing w:after="240" w:before="480"/>
      </w:pPr>
      <w:r>
        <w:rPr>
          <w:b/>
          <w:bCs/>
          <w:color w:val="1F3864"/>
          <w:sz w:val="32"/>
          <w:szCs w:val="32"/>
        </w:rPr>
        <w:t xml:space="preserve">5. The First Working Pipeline (Proof of Concept)</w:t>
      </w:r>
    </w:p>
    <w:p>
      <w:pPr>
        <w:spacing w:after="160" w:line="276"/>
      </w:pPr>
      <w:r>
        <w:rPr>
          <w:sz w:val="21"/>
          <w:szCs w:val="21"/>
        </w:rPr>
        <w:t xml:space="preserve">Before building the full multi-environment architecture, a minimal two-branch pipeline was built and fully verified end-to-end. This section is kept for historical/reference purposes; these branches (OrgSource, OrgDestination) still exist in the repository but are no longer the active pipeline — see Section 6 for the current architecture.</w:t>
      </w:r>
    </w:p>
    <w:p>
      <w:pPr>
        <w:pStyle w:val="Heading2"/>
        <w:spacing w:after="160" w:before="360"/>
      </w:pPr>
      <w:r>
        <w:rPr>
          <w:b/>
          <w:bCs/>
          <w:color w:val="1F3864"/>
          <w:sz w:val="26"/>
          <w:szCs w:val="26"/>
        </w:rPr>
        <w:t xml:space="preserve">5.1 Branching Model (Proof of Concept)</w:t>
      </w:r>
    </w:p>
    <w:p>
      <w:pPr>
        <w:pStyle w:val="ListParagraph"/>
        <w:numPr>
          <w:ilvl w:val="0"/>
          <w:numId w:val="3"/>
        </w:numPr>
        <w:spacing w:after="80" w:line="264"/>
      </w:pPr>
      <w:r>
        <w:rPr>
          <w:sz w:val="21"/>
          <w:szCs w:val="21"/>
        </w:rPr>
        <w:t xml:space="preserve">OrgSource — primary development branch; PRs into it trigger validation</w:t>
      </w:r>
    </w:p>
    <w:p>
      <w:pPr>
        <w:pStyle w:val="ListParagraph"/>
        <w:numPr>
          <w:ilvl w:val="0"/>
          <w:numId w:val="3"/>
        </w:numPr>
        <w:spacing w:after="80" w:line="264"/>
      </w:pPr>
      <w:r>
        <w:rPr>
          <w:sz w:val="21"/>
          <w:szCs w:val="21"/>
        </w:rPr>
        <w:t xml:space="preserve">OrgDestination — deployment branch; pushes/merges into it trigger a real deploy to DevOrg</w:t>
      </w:r>
    </w:p>
    <w:p>
      <w:pPr>
        <w:spacing w:after="160" w:line="276"/>
      </w:pPr>
      <w:r>
        <w:rPr>
          <w:sz w:val="21"/>
          <w:szCs w:val="21"/>
        </w:rPr>
        <w:t xml:space="preserve">Both branches had protection rules applied: pull request required, at least 1 approval, and required status checks.</w:t>
      </w:r>
    </w:p>
    <w:p>
      <w:pPr>
        <w:pStyle w:val="Heading2"/>
        <w:spacing w:after="160" w:before="360"/>
      </w:pPr>
      <w:r>
        <w:rPr>
          <w:b/>
          <w:bCs/>
          <w:color w:val="1F3864"/>
          <w:sz w:val="26"/>
          <w:szCs w:val="26"/>
        </w:rPr>
        <w:t xml:space="preserve">5.2 Workflows Built</w:t>
      </w:r>
    </w:p>
    <w:p>
      <w:pPr>
        <w:pStyle w:val="ListParagraph"/>
        <w:numPr>
          <w:ilvl w:val="0"/>
          <w:numId w:val="3"/>
        </w:numPr>
        <w:spacing w:after="80" w:line="264"/>
      </w:pPr>
      <w:r>
        <w:rPr>
          <w:sz w:val="21"/>
          <w:szCs w:val="21"/>
        </w:rPr>
        <w:t xml:space="preserve">pmd-analysis.yml — PMD static analysis on every PR into OrgSource</w:t>
      </w:r>
    </w:p>
    <w:p>
      <w:pPr>
        <w:pStyle w:val="ListParagraph"/>
        <w:numPr>
          <w:ilvl w:val="0"/>
          <w:numId w:val="3"/>
        </w:numPr>
        <w:spacing w:after="80" w:line="264"/>
      </w:pPr>
      <w:r>
        <w:rPr>
          <w:sz w:val="21"/>
          <w:szCs w:val="21"/>
        </w:rPr>
        <w:t xml:space="preserve">dev-deployment.yml (validate gate) — JWT auth, delta generation via sfdx-git-delta, and sf project deploy validate as a required check</w:t>
      </w:r>
    </w:p>
    <w:p>
      <w:pPr>
        <w:pStyle w:val="ListParagraph"/>
        <w:numPr>
          <w:ilvl w:val="0"/>
          <w:numId w:val="3"/>
        </w:numPr>
        <w:spacing w:after="80" w:line="264"/>
      </w:pPr>
      <w:r>
        <w:rPr>
          <w:sz w:val="21"/>
          <w:szCs w:val="21"/>
        </w:rPr>
        <w:t xml:space="preserve">A separate deploy workflow triggered on push to OrgDestination, running validate then sf project deploy quick</w:t>
      </w:r>
    </w:p>
    <w:p>
      <w:pPr>
        <w:pStyle w:val="Heading2"/>
        <w:spacing w:after="160" w:before="360"/>
      </w:pPr>
      <w:r>
        <w:rPr>
          <w:b/>
          <w:bCs/>
          <w:color w:val="1F3864"/>
          <w:sz w:val="26"/>
          <w:szCs w:val="26"/>
        </w:rPr>
        <w:t xml:space="preserve">5.3 Verification Performed</w:t>
      </w:r>
    </w:p>
    <w:p>
      <w:pPr>
        <w:spacing w:after="160" w:line="276"/>
      </w:pPr>
      <w:r>
        <w:rPr>
          <w:sz w:val="21"/>
          <w:szCs w:val="21"/>
        </w:rPr>
        <w:t xml:space="preserve">A dedicated test PR (“Test: CI/CD pipeline”) was used to prove the pipeline caught real problems and then correctly allowed a fix through:</w:t>
      </w:r>
    </w:p>
    <w:p>
      <w:pPr>
        <w:pStyle w:val="ListParagraph"/>
        <w:numPr>
          <w:ilvl w:val="0"/>
          <w:numId w:val="2"/>
        </w:numPr>
        <w:spacing w:after="80" w:line="264"/>
      </w:pPr>
      <w:r>
        <w:rPr>
          <w:sz w:val="21"/>
          <w:szCs w:val="21"/>
        </w:rPr>
        <w:t xml:space="preserve">The test PR initially failed validation with a genuine, expected error: “Average test coverage across all Apex Classes and Triggers is 0%, at least 75% test coverage is required” — proving the merge gate actually blocks bad changes rather than rubber-stamping them.</w:t>
      </w:r>
    </w:p>
    <w:p>
      <w:pPr>
        <w:pStyle w:val="ListParagraph"/>
        <w:numPr>
          <w:ilvl w:val="0"/>
          <w:numId w:val="2"/>
        </w:numPr>
        <w:spacing w:after="80" w:line="264"/>
      </w:pPr>
      <w:r>
        <w:rPr>
          <w:sz w:val="21"/>
          <w:szCs w:val="21"/>
        </w:rPr>
        <w:t xml:space="preserve">A minimal Apex test class (JDApexTest) was added, bringing org-wide coverage to 100% (only one Apex class existed in the org at the time). The PR then passed both required checks and was merged.</w:t>
      </w:r>
    </w:p>
    <w:p>
      <w:pPr>
        <w:pStyle w:val="ListParagraph"/>
        <w:numPr>
          <w:ilvl w:val="0"/>
          <w:numId w:val="2"/>
        </w:numPr>
        <w:spacing w:after="80" w:line="264"/>
      </w:pPr>
      <w:r>
        <w:rPr>
          <w:sz w:val="21"/>
          <w:szCs w:val="21"/>
        </w:rPr>
        <w:t xml:space="preserve">A follow-up PR from OrgSource into OrgDestination was merged, triggering the real deploy workflow, which ran sf project deploy quick against DevOrg.</w:t>
      </w:r>
    </w:p>
    <w:p>
      <w:pPr>
        <w:pStyle w:val="ListParagraph"/>
        <w:numPr>
          <w:ilvl w:val="0"/>
          <w:numId w:val="2"/>
        </w:numPr>
        <w:spacing w:after="80" w:line="264"/>
      </w:pPr>
      <w:r>
        <w:rPr>
          <w:sz w:val="21"/>
          <w:szCs w:val="21"/>
        </w:rPr>
        <w:t xml:space="preserve">The deployment was independently verified by running sf apex run test --tests JDApexTest --target-org DevOrg directly against the org (outside of CI) — confirmed Pass, 100% pass rate.</w:t>
      </w:r>
    </w:p>
    <w:p>
      <w:pPr>
        <w:spacing w:after="160" w:line="276"/>
      </w:pPr>
      <w:r>
        <w:rPr>
          <w:sz w:val="21"/>
          <w:szCs w:val="21"/>
        </w:rPr>
        <w:t xml:space="preserve"/>
      </w:r>
    </w:p>
    <w:tbl>
      <w:tblPr>
        <w:tblW w:type="dxa" w:w="9360"/>
        <w:tblBorders>
          <w:top w:val="single" w:color="1E7A34" w:sz="4"/>
          <w:left w:val="single" w:color="1E7A34" w:sz="24"/>
          <w:bottom w:val="single" w:color="1E7A34" w:sz="4"/>
          <w:right w:val="single" w:color="1E7A34" w:sz="4"/>
          <w:insideH w:val="single" w:color="auto" w:sz="4"/>
          <w:insideV w:val="single" w:color="auto" w:sz="4"/>
        </w:tblBorders>
      </w:tblPr>
      <w:tblGrid>
        <w:gridCol w:w="9360"/>
      </w:tblGrid>
      <w:tr>
        <w:tc>
          <w:tcPr>
            <w:tcW w:type="dxa" w:w="9360"/>
            <w:shd w:fill="F2F2F2" w:val="clear"/>
            <w:tcMar>
              <w:top w:type="dxa" w:w="120"/>
              <w:left w:type="dxa" w:w="200"/>
              <w:bottom w:type="dxa" w:w="120"/>
              <w:right w:type="dxa" w:w="200"/>
            </w:tcMar>
          </w:tcPr>
          <w:p>
            <w:pPr>
              <w:spacing w:after="60"/>
            </w:pPr>
            <w:r>
              <w:rPr>
                <w:b/>
                <w:bCs/>
                <w:color w:val="1E7A34"/>
                <w:sz w:val="20"/>
                <w:szCs w:val="20"/>
              </w:rPr>
              <w:t xml:space="preserve">Why this mattered</w:t>
            </w:r>
          </w:p>
          <w:p>
            <w:pPr>
              <w:spacing w:after="0"/>
            </w:pPr>
            <w:r>
              <w:rPr>
                <w:color w:val="333333"/>
                <w:sz w:val="20"/>
                <w:szCs w:val="20"/>
              </w:rPr>
              <w:t xml:space="preserve">Building and fully proving out a simple two-branch pipeline first — including deliberately watching it fail correctly before watching it succeed — surfaced and fixed several environment-level bugs (Section 8) before they could complicate the more complex multi-environment design.</w:t>
            </w:r>
          </w:p>
        </w:tc>
      </w:tr>
    </w:tbl>
    <w:p>
      <w:pPr>
        <w:spacing w:after="160" w:line="276"/>
      </w:pPr>
      <w:r>
        <w:rPr>
          <w:sz w:val="21"/>
          <w:szCs w:val="21"/>
        </w:rPr>
        <w:t xml:space="preserve"/>
      </w:r>
    </w:p>
    <w:p>
      <w:r>
        <w:br w:type="page"/>
      </w:r>
    </w:p>
    <w:p>
      <w:pPr>
        <w:pStyle w:val="Heading1"/>
        <w:pBdr>
          <w:bottom w:val="single" w:color="2E5AAC" w:sz="8" w:space="4"/>
        </w:pBdr>
        <w:spacing w:after="240" w:before="480"/>
      </w:pPr>
      <w:r>
        <w:rPr>
          <w:b/>
          <w:bCs/>
          <w:color w:val="1F3864"/>
          <w:sz w:val="32"/>
          <w:szCs w:val="32"/>
        </w:rPr>
        <w:t xml:space="preserve">6. Multi-Environment Architecture (Current / Production-Track Design)</w:t>
      </w:r>
    </w:p>
    <w:p>
      <w:pPr>
        <w:spacing w:after="160" w:line="276"/>
      </w:pPr>
      <w:r>
        <w:rPr>
          <w:sz w:val="21"/>
          <w:szCs w:val="21"/>
        </w:rPr>
        <w:t xml:space="preserve">This is the pipeline intended for real use, matching the organization's actual promotion path: Dev → QA (Integration) → UAT → Production. It was built on top of everything proven out in Section 5, then hardened for security and correctness (Section 8).</w:t>
      </w:r>
    </w:p>
    <w:p>
      <w:pPr>
        <w:pStyle w:val="Heading2"/>
        <w:spacing w:after="160" w:before="360"/>
      </w:pPr>
      <w:r>
        <w:rPr>
          <w:b/>
          <w:bCs/>
          <w:color w:val="1F3864"/>
          <w:sz w:val="26"/>
          <w:szCs w:val="26"/>
        </w:rPr>
        <w:t xml:space="preserve">6.1 Branching &amp; Promotion Flow</w:t>
      </w:r>
    </w:p>
    <w:p>
      <w:pPr>
        <w:spacing w:after="160" w:line="276"/>
      </w:pPr>
      <w:r>
        <w:rPr>
          <w:sz w:val="21"/>
          <w:szCs w:val="21"/>
        </w:rPr>
        <w:t xml:space="preserve">Code moves through five branches in a strict line, each gated by its own pull request:</w:t>
      </w:r>
    </w:p>
    <w:p>
      <w:pPr>
        <w:spacing w:after="240" w:before="120"/>
        <w:jc w:val="center"/>
      </w:pPr>
      <w:r>
        <w:rPr>
          <w:b/>
          <w:bCs/>
          <w:color w:val="2E5AAC"/>
          <w:sz w:val="22"/>
          <w:szCs w:val="22"/>
        </w:rPr>
        <w:t xml:space="preserve">feature/*</w:t>
      </w:r>
      <w:r>
        <w:rPr>
          <w:color w:val="595959"/>
          <w:sz w:val="22"/>
          <w:szCs w:val="22"/>
        </w:rPr>
        <w:t xml:space="preserve">  →  </w:t>
      </w:r>
      <w:r>
        <w:rPr>
          <w:b/>
          <w:bCs/>
          <w:color w:val="2E5AAC"/>
          <w:sz w:val="22"/>
          <w:szCs w:val="22"/>
        </w:rPr>
        <w:t xml:space="preserve">dev</w:t>
      </w:r>
      <w:r>
        <w:rPr>
          <w:color w:val="595959"/>
          <w:sz w:val="22"/>
          <w:szCs w:val="22"/>
        </w:rPr>
        <w:t xml:space="preserve">  →  </w:t>
      </w:r>
      <w:r>
        <w:rPr>
          <w:b/>
          <w:bCs/>
          <w:color w:val="2E5AAC"/>
          <w:sz w:val="22"/>
          <w:szCs w:val="22"/>
        </w:rPr>
        <w:t xml:space="preserve">qa</w:t>
      </w:r>
      <w:r>
        <w:rPr>
          <w:color w:val="595959"/>
          <w:sz w:val="22"/>
          <w:szCs w:val="22"/>
        </w:rPr>
        <w:t xml:space="preserve">  →  </w:t>
      </w:r>
      <w:r>
        <w:rPr>
          <w:b/>
          <w:bCs/>
          <w:color w:val="2E5AAC"/>
          <w:sz w:val="22"/>
          <w:szCs w:val="22"/>
        </w:rPr>
        <w:t xml:space="preserve">uat</w:t>
      </w:r>
      <w:r>
        <w:rPr>
          <w:color w:val="595959"/>
          <w:sz w:val="22"/>
          <w:szCs w:val="22"/>
        </w:rPr>
        <w:t xml:space="preserve">  →  </w:t>
      </w:r>
      <w:r>
        <w:rPr>
          <w:b/>
          <w:bCs/>
          <w:color w:val="2E5AAC"/>
          <w:sz w:val="22"/>
          <w:szCs w:val="22"/>
        </w:rPr>
        <w:t xml:space="preserve">release</w:t>
      </w:r>
      <w:r>
        <w:rPr>
          <w:color w:val="595959"/>
          <w:sz w:val="22"/>
          <w:szCs w:val="22"/>
        </w:rPr>
        <w:t xml:space="preserve">  →  </w:t>
      </w:r>
      <w:r>
        <w:rPr>
          <w:b/>
          <w:bCs/>
          <w:color w:val="2E5AAC"/>
          <w:sz w:val="22"/>
          <w:szCs w:val="22"/>
        </w:rPr>
        <w:t xml:space="preserve">master</w:t>
      </w:r>
    </w:p>
    <w:p>
      <w:pPr>
        <w:pStyle w:val="Heading3"/>
        <w:spacing w:after="120" w:before="240"/>
      </w:pPr>
      <w:r>
        <w:rPr>
          <w:b/>
          <w:bCs/>
          <w:color w:val="2E5AAC"/>
          <w:sz w:val="22"/>
          <w:szCs w:val="22"/>
        </w:rPr>
        <w:t xml:space="preserve">6.1.1 Branch → Environment → Org Mapping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2300"/>
        <w:gridCol w:w="2400"/>
        <w:gridCol w:w="3060"/>
      </w:tblGrid>
      <w:tr>
        <w:trPr>
          <w:tblHeader/>
        </w:trPr>
        <w:tc>
          <w:tcPr>
            <w:tcW w:type="dxa" w:w="1600"/>
            <w:shd w:fill="1F3864" w:val="clear"/>
            <w:tcMar>
              <w:top w:type="dxa" w:w="80"/>
              <w:left w:type="dxa" w:w="100"/>
              <w:bottom w:type="dxa" w:w="80"/>
              <w:right w:type="dxa" w:w="100"/>
            </w:tcMar>
            <w:vAlign w:val="center"/>
          </w:tcPr>
          <w:p>
            <w:r>
              <w:rPr>
                <w:b/>
                <w:bCs/>
                <w:color w:val="FFFFFF"/>
                <w:sz w:val="19"/>
                <w:szCs w:val="19"/>
              </w:rPr>
              <w:t xml:space="preserve">Branch</w:t>
            </w:r>
          </w:p>
        </w:tc>
        <w:tc>
          <w:tcPr>
            <w:tcW w:type="dxa" w:w="2300"/>
            <w:shd w:fill="1F3864" w:val="clear"/>
            <w:tcMar>
              <w:top w:type="dxa" w:w="80"/>
              <w:left w:type="dxa" w:w="100"/>
              <w:bottom w:type="dxa" w:w="80"/>
              <w:right w:type="dxa" w:w="100"/>
            </w:tcMar>
            <w:vAlign w:val="center"/>
          </w:tcPr>
          <w:p>
            <w:r>
              <w:rPr>
                <w:b/>
                <w:bCs/>
                <w:color w:val="FFFFFF"/>
                <w:sz w:val="19"/>
                <w:szCs w:val="19"/>
              </w:rPr>
              <w:t xml:space="preserve">GitHub Environment</w:t>
            </w:r>
          </w:p>
        </w:tc>
        <w:tc>
          <w:tcPr>
            <w:tcW w:type="dxa" w:w="2400"/>
            <w:shd w:fill="1F3864" w:val="clear"/>
            <w:tcMar>
              <w:top w:type="dxa" w:w="80"/>
              <w:left w:type="dxa" w:w="100"/>
              <w:bottom w:type="dxa" w:w="80"/>
              <w:right w:type="dxa" w:w="100"/>
            </w:tcMar>
            <w:vAlign w:val="center"/>
          </w:tcPr>
          <w:p>
            <w:r>
              <w:rPr>
                <w:b/>
                <w:bCs/>
                <w:color w:val="FFFFFF"/>
                <w:sz w:val="19"/>
                <w:szCs w:val="19"/>
              </w:rPr>
              <w:t xml:space="preserve">Salesforce Org</w:t>
            </w:r>
          </w:p>
        </w:tc>
        <w:tc>
          <w:tcPr>
            <w:tcW w:type="dxa" w:w="3060"/>
            <w:shd w:fill="1F3864" w:val="clear"/>
            <w:tcMar>
              <w:top w:type="dxa" w:w="80"/>
              <w:left w:type="dxa" w:w="100"/>
              <w:bottom w:type="dxa" w:w="80"/>
              <w:right w:type="dxa" w:w="100"/>
            </w:tcMar>
            <w:vAlign w:val="center"/>
          </w:tcPr>
          <w:p>
            <w:r>
              <w:rPr>
                <w:b/>
                <w:bCs/>
                <w:color w:val="FFFFFF"/>
                <w:sz w:val="19"/>
                <w:szCs w:val="19"/>
              </w:rPr>
              <w:t xml:space="preserve">Purpose</w:t>
            </w:r>
          </w:p>
        </w:tc>
      </w:tr>
      <w:tr>
        <w:tc>
          <w:tcPr>
            <w:tcW w:type="dxa" w:w="1600"/>
            <w:shd w:fill="FFFFFF" w:val="clear"/>
            <w:tcMar>
              <w:top w:type="dxa" w:w="80"/>
              <w:left w:type="dxa" w:w="100"/>
              <w:bottom w:type="dxa" w:w="80"/>
              <w:right w:type="dxa" w:w="100"/>
            </w:tcMar>
            <w:vAlign w:val="center"/>
          </w:tcPr>
          <w:p>
            <w:r>
              <w:rPr>
                <w:sz w:val="19"/>
                <w:szCs w:val="19"/>
              </w:rPr>
              <w:t xml:space="preserve">feature/*</w:t>
            </w:r>
          </w:p>
        </w:tc>
        <w:tc>
          <w:tcPr>
            <w:tcW w:type="dxa" w:w="2300"/>
            <w:shd w:fill="FFFFFF" w:val="clear"/>
            <w:tcMar>
              <w:top w:type="dxa" w:w="80"/>
              <w:left w:type="dxa" w:w="100"/>
              <w:bottom w:type="dxa" w:w="80"/>
              <w:right w:type="dxa" w:w="100"/>
            </w:tcMar>
            <w:vAlign w:val="center"/>
          </w:tcPr>
          <w:p>
            <w:r>
              <w:rPr>
                <w:sz w:val="19"/>
                <w:szCs w:val="19"/>
              </w:rPr>
              <w:t xml:space="preserve">— (no environment)</w:t>
            </w:r>
          </w:p>
        </w:tc>
        <w:tc>
          <w:tcPr>
            <w:tcW w:type="dxa" w:w="2400"/>
            <w:shd w:fill="FFFFFF" w:val="clear"/>
            <w:tcMar>
              <w:top w:type="dxa" w:w="80"/>
              <w:left w:type="dxa" w:w="100"/>
              <w:bottom w:type="dxa" w:w="80"/>
              <w:right w:type="dxa" w:w="100"/>
            </w:tcMar>
            <w:vAlign w:val="center"/>
          </w:tcPr>
          <w:p>
            <w:r>
              <w:rPr>
                <w:sz w:val="19"/>
                <w:szCs w:val="19"/>
              </w:rPr>
              <w:t xml:space="preserve">—</w:t>
            </w:r>
          </w:p>
        </w:tc>
        <w:tc>
          <w:tcPr>
            <w:tcW w:type="dxa" w:w="3060"/>
            <w:shd w:fill="FFFFFF" w:val="clear"/>
            <w:tcMar>
              <w:top w:type="dxa" w:w="80"/>
              <w:left w:type="dxa" w:w="100"/>
              <w:bottom w:type="dxa" w:w="80"/>
              <w:right w:type="dxa" w:w="100"/>
            </w:tcMar>
            <w:vAlign w:val="center"/>
          </w:tcPr>
          <w:p>
            <w:r>
              <w:rPr>
                <w:sz w:val="19"/>
                <w:szCs w:val="19"/>
              </w:rPr>
              <w:t xml:space="preserve">Individual developer work; never targeted directly by CI</w:t>
            </w:r>
          </w:p>
        </w:tc>
      </w:tr>
      <w:tr>
        <w:tc>
          <w:tcPr>
            <w:tcW w:type="dxa" w:w="1600"/>
            <w:shd w:fill="F2F2F2" w:val="clear"/>
            <w:tcMar>
              <w:top w:type="dxa" w:w="80"/>
              <w:left w:type="dxa" w:w="100"/>
              <w:bottom w:type="dxa" w:w="80"/>
              <w:right w:type="dxa" w:w="100"/>
            </w:tcMar>
            <w:vAlign w:val="center"/>
          </w:tcPr>
          <w:p>
            <w:r>
              <w:rPr>
                <w:sz w:val="19"/>
                <w:szCs w:val="19"/>
              </w:rPr>
              <w:t xml:space="preserve">dev</w:t>
            </w:r>
          </w:p>
        </w:tc>
        <w:tc>
          <w:tcPr>
            <w:tcW w:type="dxa" w:w="2300"/>
            <w:shd w:fill="F2F2F2" w:val="clear"/>
            <w:tcMar>
              <w:top w:type="dxa" w:w="80"/>
              <w:left w:type="dxa" w:w="100"/>
              <w:bottom w:type="dxa" w:w="80"/>
              <w:right w:type="dxa" w:w="100"/>
            </w:tcMar>
            <w:vAlign w:val="center"/>
          </w:tcPr>
          <w:p>
            <w:r>
              <w:rPr>
                <w:sz w:val="19"/>
                <w:szCs w:val="19"/>
              </w:rPr>
              <w:t xml:space="preserve">dev</w:t>
            </w:r>
          </w:p>
        </w:tc>
        <w:tc>
          <w:tcPr>
            <w:tcW w:type="dxa" w:w="2400"/>
            <w:shd w:fill="F2F2F2" w:val="clear"/>
            <w:tcMar>
              <w:top w:type="dxa" w:w="80"/>
              <w:left w:type="dxa" w:w="100"/>
              <w:bottom w:type="dxa" w:w="80"/>
              <w:right w:type="dxa" w:w="100"/>
            </w:tcMar>
            <w:vAlign w:val="center"/>
          </w:tcPr>
          <w:p>
            <w:r>
              <w:rPr>
                <w:sz w:val="19"/>
                <w:szCs w:val="19"/>
              </w:rPr>
              <w:t xml:space="preserve">Dev sandbox</w:t>
            </w:r>
          </w:p>
        </w:tc>
        <w:tc>
          <w:tcPr>
            <w:tcW w:type="dxa" w:w="3060"/>
            <w:shd w:fill="F2F2F2" w:val="clear"/>
            <w:tcMar>
              <w:top w:type="dxa" w:w="80"/>
              <w:left w:type="dxa" w:w="100"/>
              <w:bottom w:type="dxa" w:w="80"/>
              <w:right w:type="dxa" w:w="100"/>
            </w:tcMar>
            <w:vAlign w:val="center"/>
          </w:tcPr>
          <w:p>
            <w:r>
              <w:rPr>
                <w:sz w:val="19"/>
                <w:szCs w:val="19"/>
              </w:rPr>
              <w:t xml:space="preserve">First integration point; fast feedback, no test gate on deploy</w:t>
            </w:r>
          </w:p>
        </w:tc>
      </w:tr>
      <w:tr>
        <w:tc>
          <w:tcPr>
            <w:tcW w:type="dxa" w:w="1600"/>
            <w:shd w:fill="FFFFFF" w:val="clear"/>
            <w:tcMar>
              <w:top w:type="dxa" w:w="80"/>
              <w:left w:type="dxa" w:w="100"/>
              <w:bottom w:type="dxa" w:w="80"/>
              <w:right w:type="dxa" w:w="100"/>
            </w:tcMar>
            <w:vAlign w:val="center"/>
          </w:tcPr>
          <w:p>
            <w:r>
              <w:rPr>
                <w:sz w:val="19"/>
                <w:szCs w:val="19"/>
              </w:rPr>
              <w:t xml:space="preserve">qa</w:t>
            </w:r>
          </w:p>
        </w:tc>
        <w:tc>
          <w:tcPr>
            <w:tcW w:type="dxa" w:w="2300"/>
            <w:shd w:fill="FFFFFF" w:val="clear"/>
            <w:tcMar>
              <w:top w:type="dxa" w:w="80"/>
              <w:left w:type="dxa" w:w="100"/>
              <w:bottom w:type="dxa" w:w="80"/>
              <w:right w:type="dxa" w:w="100"/>
            </w:tcMar>
            <w:vAlign w:val="center"/>
          </w:tcPr>
          <w:p>
            <w:r>
              <w:rPr>
                <w:sz w:val="19"/>
                <w:szCs w:val="19"/>
              </w:rPr>
              <w:t xml:space="preserve">qa</w:t>
            </w:r>
          </w:p>
        </w:tc>
        <w:tc>
          <w:tcPr>
            <w:tcW w:type="dxa" w:w="2400"/>
            <w:shd w:fill="FFFFFF" w:val="clear"/>
            <w:tcMar>
              <w:top w:type="dxa" w:w="80"/>
              <w:left w:type="dxa" w:w="100"/>
              <w:bottom w:type="dxa" w:w="80"/>
              <w:right w:type="dxa" w:w="100"/>
            </w:tcMar>
            <w:vAlign w:val="center"/>
          </w:tcPr>
          <w:p>
            <w:r>
              <w:rPr>
                <w:sz w:val="19"/>
                <w:szCs w:val="19"/>
              </w:rPr>
              <w:t xml:space="preserve">QA / Integration sandbox</w:t>
            </w:r>
          </w:p>
        </w:tc>
        <w:tc>
          <w:tcPr>
            <w:tcW w:type="dxa" w:w="3060"/>
            <w:shd w:fill="FFFFFF" w:val="clear"/>
            <w:tcMar>
              <w:top w:type="dxa" w:w="80"/>
              <w:left w:type="dxa" w:w="100"/>
              <w:bottom w:type="dxa" w:w="80"/>
              <w:right w:type="dxa" w:w="100"/>
            </w:tcMar>
            <w:vAlign w:val="center"/>
          </w:tcPr>
          <w:p>
            <w:r>
              <w:rPr>
                <w:sz w:val="19"/>
                <w:szCs w:val="19"/>
              </w:rPr>
              <w:t xml:space="preserve">Cross-feature integration testing</w:t>
            </w:r>
          </w:p>
        </w:tc>
      </w:tr>
      <w:tr>
        <w:tc>
          <w:tcPr>
            <w:tcW w:type="dxa" w:w="1600"/>
            <w:shd w:fill="F2F2F2" w:val="clear"/>
            <w:tcMar>
              <w:top w:type="dxa" w:w="80"/>
              <w:left w:type="dxa" w:w="100"/>
              <w:bottom w:type="dxa" w:w="80"/>
              <w:right w:type="dxa" w:w="100"/>
            </w:tcMar>
            <w:vAlign w:val="center"/>
          </w:tcPr>
          <w:p>
            <w:r>
              <w:rPr>
                <w:sz w:val="19"/>
                <w:szCs w:val="19"/>
              </w:rPr>
              <w:t xml:space="preserve">uat</w:t>
            </w:r>
          </w:p>
        </w:tc>
        <w:tc>
          <w:tcPr>
            <w:tcW w:type="dxa" w:w="2300"/>
            <w:shd w:fill="F2F2F2" w:val="clear"/>
            <w:tcMar>
              <w:top w:type="dxa" w:w="80"/>
              <w:left w:type="dxa" w:w="100"/>
              <w:bottom w:type="dxa" w:w="80"/>
              <w:right w:type="dxa" w:w="100"/>
            </w:tcMar>
            <w:vAlign w:val="center"/>
          </w:tcPr>
          <w:p>
            <w:r>
              <w:rPr>
                <w:sz w:val="19"/>
                <w:szCs w:val="19"/>
              </w:rPr>
              <w:t xml:space="preserve">uat</w:t>
            </w:r>
          </w:p>
        </w:tc>
        <w:tc>
          <w:tcPr>
            <w:tcW w:type="dxa" w:w="2400"/>
            <w:shd w:fill="F2F2F2" w:val="clear"/>
            <w:tcMar>
              <w:top w:type="dxa" w:w="80"/>
              <w:left w:type="dxa" w:w="100"/>
              <w:bottom w:type="dxa" w:w="80"/>
              <w:right w:type="dxa" w:w="100"/>
            </w:tcMar>
            <w:vAlign w:val="center"/>
          </w:tcPr>
          <w:p>
            <w:r>
              <w:rPr>
                <w:sz w:val="19"/>
                <w:szCs w:val="19"/>
              </w:rPr>
              <w:t xml:space="preserve">UAT sandbox</w:t>
            </w:r>
          </w:p>
        </w:tc>
        <w:tc>
          <w:tcPr>
            <w:tcW w:type="dxa" w:w="3060"/>
            <w:shd w:fill="F2F2F2" w:val="clear"/>
            <w:tcMar>
              <w:top w:type="dxa" w:w="80"/>
              <w:left w:type="dxa" w:w="100"/>
              <w:bottom w:type="dxa" w:w="80"/>
              <w:right w:type="dxa" w:w="100"/>
            </w:tcMar>
            <w:vAlign w:val="center"/>
          </w:tcPr>
          <w:p>
            <w:r>
              <w:rPr>
                <w:sz w:val="19"/>
                <w:szCs w:val="19"/>
              </w:rPr>
              <w:t xml:space="preserve">Business/user acceptance testing; requires manual approval to deploy</w:t>
            </w:r>
          </w:p>
        </w:tc>
      </w:tr>
      <w:tr>
        <w:tc>
          <w:tcPr>
            <w:tcW w:type="dxa" w:w="1600"/>
            <w:shd w:fill="FFFFFF" w:val="clear"/>
            <w:tcMar>
              <w:top w:type="dxa" w:w="80"/>
              <w:left w:type="dxa" w:w="100"/>
              <w:bottom w:type="dxa" w:w="80"/>
              <w:right w:type="dxa" w:w="100"/>
            </w:tcMar>
            <w:vAlign w:val="center"/>
          </w:tcPr>
          <w:p>
            <w:r>
              <w:rPr>
                <w:sz w:val="19"/>
                <w:szCs w:val="19"/>
              </w:rPr>
              <w:t xml:space="preserve">release</w:t>
            </w:r>
          </w:p>
        </w:tc>
        <w:tc>
          <w:tcPr>
            <w:tcW w:type="dxa" w:w="2300"/>
            <w:shd w:fill="FFFFFF" w:val="clear"/>
            <w:tcMar>
              <w:top w:type="dxa" w:w="80"/>
              <w:left w:type="dxa" w:w="100"/>
              <w:bottom w:type="dxa" w:w="80"/>
              <w:right w:type="dxa" w:w="100"/>
            </w:tcMar>
            <w:vAlign w:val="center"/>
          </w:tcPr>
          <w:p>
            <w:r>
              <w:rPr>
                <w:sz w:val="19"/>
                <w:szCs w:val="19"/>
              </w:rPr>
              <w:t xml:space="preserve">production</w:t>
            </w:r>
          </w:p>
        </w:tc>
        <w:tc>
          <w:tcPr>
            <w:tcW w:type="dxa" w:w="2400"/>
            <w:shd w:fill="FFFFFF" w:val="clear"/>
            <w:tcMar>
              <w:top w:type="dxa" w:w="80"/>
              <w:left w:type="dxa" w:w="100"/>
              <w:bottom w:type="dxa" w:w="80"/>
              <w:right w:type="dxa" w:w="100"/>
            </w:tcMar>
            <w:vAlign w:val="center"/>
          </w:tcPr>
          <w:p>
            <w:r>
              <w:rPr>
                <w:sz w:val="19"/>
                <w:szCs w:val="19"/>
              </w:rPr>
              <w:t xml:space="preserve">Production</w:t>
            </w:r>
          </w:p>
        </w:tc>
        <w:tc>
          <w:tcPr>
            <w:tcW w:type="dxa" w:w="3060"/>
            <w:shd w:fill="FFFFFF" w:val="clear"/>
            <w:tcMar>
              <w:top w:type="dxa" w:w="80"/>
              <w:left w:type="dxa" w:w="100"/>
              <w:bottom w:type="dxa" w:w="80"/>
              <w:right w:type="dxa" w:w="100"/>
            </w:tcMar>
            <w:vAlign w:val="center"/>
          </w:tcPr>
          <w:p>
            <w:r>
              <w:rPr>
                <w:sz w:val="19"/>
                <w:szCs w:val="19"/>
              </w:rPr>
              <w:t xml:space="preserve">Release candidate; requires manual approval to deploy</w:t>
            </w:r>
          </w:p>
        </w:tc>
      </w:tr>
      <w:tr>
        <w:tc>
          <w:tcPr>
            <w:tcW w:type="dxa" w:w="1600"/>
            <w:shd w:fill="F2F2F2" w:val="clear"/>
            <w:tcMar>
              <w:top w:type="dxa" w:w="80"/>
              <w:left w:type="dxa" w:w="100"/>
              <w:bottom w:type="dxa" w:w="80"/>
              <w:right w:type="dxa" w:w="100"/>
            </w:tcMar>
            <w:vAlign w:val="center"/>
          </w:tcPr>
          <w:p>
            <w:r>
              <w:rPr>
                <w:sz w:val="19"/>
                <w:szCs w:val="19"/>
              </w:rPr>
              <w:t xml:space="preserve">master</w:t>
            </w:r>
          </w:p>
        </w:tc>
        <w:tc>
          <w:tcPr>
            <w:tcW w:type="dxa" w:w="2300"/>
            <w:shd w:fill="F2F2F2" w:val="clear"/>
            <w:tcMar>
              <w:top w:type="dxa" w:w="80"/>
              <w:left w:type="dxa" w:w="100"/>
              <w:bottom w:type="dxa" w:w="80"/>
              <w:right w:type="dxa" w:w="100"/>
            </w:tcMar>
            <w:vAlign w:val="center"/>
          </w:tcPr>
          <w:p>
            <w:r>
              <w:rPr>
                <w:sz w:val="19"/>
                <w:szCs w:val="19"/>
              </w:rPr>
              <w:t xml:space="preserve">production (validate only)</w:t>
            </w:r>
          </w:p>
        </w:tc>
        <w:tc>
          <w:tcPr>
            <w:tcW w:type="dxa" w:w="2400"/>
            <w:shd w:fill="F2F2F2" w:val="clear"/>
            <w:tcMar>
              <w:top w:type="dxa" w:w="80"/>
              <w:left w:type="dxa" w:w="100"/>
              <w:bottom w:type="dxa" w:w="80"/>
              <w:right w:type="dxa" w:w="100"/>
            </w:tcMar>
            <w:vAlign w:val="center"/>
          </w:tcPr>
          <w:p>
            <w:r>
              <w:rPr>
                <w:sz w:val="19"/>
                <w:szCs w:val="19"/>
              </w:rPr>
              <w:t xml:space="preserve">Production</w:t>
            </w:r>
          </w:p>
        </w:tc>
        <w:tc>
          <w:tcPr>
            <w:tcW w:type="dxa" w:w="3060"/>
            <w:shd w:fill="F2F2F2" w:val="clear"/>
            <w:tcMar>
              <w:top w:type="dxa" w:w="80"/>
              <w:left w:type="dxa" w:w="100"/>
              <w:bottom w:type="dxa" w:w="80"/>
              <w:right w:type="dxa" w:w="100"/>
            </w:tcMar>
            <w:vAlign w:val="center"/>
          </w:tcPr>
          <w:p>
            <w:r>
              <w:rPr>
                <w:sz w:val="19"/>
                <w:szCs w:val="19"/>
              </w:rPr>
              <w:t xml:space="preserve">Post-release history only — never deploys</w:t>
            </w:r>
          </w:p>
        </w:tc>
      </w:tr>
    </w:tbl>
    <w:p>
      <w:pPr>
        <w:spacing w:after="160" w:line="276"/>
      </w:pPr>
      <w:r>
        <w:rPr>
          <w:sz w:val="21"/>
          <w:szCs w:val="21"/>
        </w:rPr>
        <w:t xml:space="preserve"/>
      </w:r>
    </w:p>
    <w:p>
      <w:pPr>
        <w:spacing w:after="160" w:line="276"/>
      </w:pPr>
      <w:r>
        <w:rPr>
          <w:sz w:val="21"/>
          <w:szCs w:val="21"/>
        </w:rPr>
        <w:t xml:space="preserve">A pull request is opened at each arrow above (e.g. dev → qa, qa → uat, and so on). Merging that PR is what advances the code to the next stage; nothing is deployed automatically without a corresponding merge.</w:t>
      </w:r>
    </w:p>
    <w:p>
      <w:pPr>
        <w:pStyle w:val="Heading3"/>
        <w:spacing w:after="120" w:before="240"/>
      </w:pPr>
      <w:r>
        <w:rPr>
          <w:b/>
          <w:bCs/>
          <w:color w:val="2E5AAC"/>
          <w:sz w:val="22"/>
          <w:szCs w:val="22"/>
        </w:rPr>
        <w:t xml:space="preserve">6.1.2 Why master Never Deploys</w:t>
      </w:r>
    </w:p>
    <w:p>
      <w:pPr>
        <w:spacing w:after="160" w:line="276"/>
      </w:pPr>
      <w:r>
        <w:rPr>
          <w:sz w:val="21"/>
          <w:szCs w:val="21"/>
        </w:rPr>
        <w:t xml:space="preserve">master is intentionally excluded from the deploy workflow's trigger. It exists to accumulate the released, already-deployed history after release has shipped to Production — merging release's changes into master is a record-keeping step, not a second deployment. The PR merge gate (validation) still runs for PRs into master as a final consistency check, but no deploy workflow fires.</w:t>
      </w:r>
    </w:p>
    <w:p>
      <w:pPr>
        <w:pStyle w:val="Heading2"/>
        <w:spacing w:after="160" w:before="360"/>
      </w:pPr>
      <w:r>
        <w:rPr>
          <w:b/>
          <w:bCs/>
          <w:color w:val="1F3864"/>
          <w:sz w:val="26"/>
          <w:szCs w:val="26"/>
        </w:rPr>
        <w:t xml:space="preserve">6.2 Test Execution Strategy by Environment</w:t>
      </w:r>
    </w:p>
    <w:p>
      <w:pPr>
        <w:spacing w:after="160" w:line="276"/>
      </w:pPr>
      <w:r>
        <w:rPr>
          <w:sz w:val="21"/>
          <w:szCs w:val="21"/>
        </w:rPr>
        <w:t xml:space="preserve">Apex test execution is deliberately different depending on how far along the pipeline a change is, matching how the business wants speed traded off against confidence: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3700"/>
        <w:gridCol w:w="346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Environment</w:t>
            </w:r>
          </w:p>
        </w:tc>
        <w:tc>
          <w:tcPr>
            <w:tcW w:type="dxa" w:w="3700"/>
            <w:shd w:fill="1F3864" w:val="clear"/>
            <w:tcMar>
              <w:top w:type="dxa" w:w="80"/>
              <w:left w:type="dxa" w:w="100"/>
              <w:bottom w:type="dxa" w:w="80"/>
              <w:right w:type="dxa" w:w="100"/>
            </w:tcMar>
            <w:vAlign w:val="center"/>
          </w:tcPr>
          <w:p>
            <w:r>
              <w:rPr>
                <w:b/>
                <w:bCs/>
                <w:color w:val="FFFFFF"/>
                <w:sz w:val="19"/>
                <w:szCs w:val="19"/>
              </w:rPr>
              <w:t xml:space="preserve">PR merge-gate validate</w:t>
            </w:r>
          </w:p>
        </w:tc>
        <w:tc>
          <w:tcPr>
            <w:tcW w:type="dxa" w:w="3460"/>
            <w:shd w:fill="1F3864" w:val="clear"/>
            <w:tcMar>
              <w:top w:type="dxa" w:w="80"/>
              <w:left w:type="dxa" w:w="100"/>
              <w:bottom w:type="dxa" w:w="80"/>
              <w:right w:type="dxa" w:w="100"/>
            </w:tcMar>
            <w:vAlign w:val="center"/>
          </w:tcPr>
          <w:p>
            <w:r>
              <w:rPr>
                <w:b/>
                <w:bCs/>
                <w:color w:val="FFFFFF"/>
                <w:sz w:val="19"/>
                <w:szCs w:val="19"/>
              </w:rPr>
              <w:t xml:space="preserve">Real deploy after merge</w:t>
            </w:r>
          </w:p>
        </w:tc>
      </w:tr>
      <w:tr>
        <w:tc>
          <w:tcPr>
            <w:tcW w:type="dxa" w:w="2200"/>
            <w:shd w:fill="FFFFFF" w:val="clear"/>
            <w:tcMar>
              <w:top w:type="dxa" w:w="80"/>
              <w:left w:type="dxa" w:w="100"/>
              <w:bottom w:type="dxa" w:w="80"/>
              <w:right w:type="dxa" w:w="100"/>
            </w:tcMar>
            <w:vAlign w:val="center"/>
          </w:tcPr>
          <w:p>
            <w:r>
              <w:rPr>
                <w:sz w:val="19"/>
                <w:szCs w:val="19"/>
              </w:rPr>
              <w:t xml:space="preserve">dev</w:t>
            </w:r>
          </w:p>
        </w:tc>
        <w:tc>
          <w:tcPr>
            <w:tcW w:type="dxa" w:w="3700"/>
            <w:shd w:fill="FFFFFF" w:val="clear"/>
            <w:tcMar>
              <w:top w:type="dxa" w:w="80"/>
              <w:left w:type="dxa" w:w="100"/>
              <w:bottom w:type="dxa" w:w="80"/>
              <w:right w:type="dxa" w:w="100"/>
            </w:tcMar>
            <w:vAlign w:val="center"/>
          </w:tcPr>
          <w:p>
            <w:r>
              <w:rPr>
                <w:sz w:val="19"/>
                <w:szCs w:val="19"/>
              </w:rPr>
              <w:t xml:space="preserve">RunLocalTests (see note below)</w:t>
            </w:r>
          </w:p>
        </w:tc>
        <w:tc>
          <w:tcPr>
            <w:tcW w:type="dxa" w:w="3460"/>
            <w:shd w:fill="FFFFFF" w:val="clear"/>
            <w:tcMar>
              <w:top w:type="dxa" w:w="80"/>
              <w:left w:type="dxa" w:w="100"/>
              <w:bottom w:type="dxa" w:w="80"/>
              <w:right w:type="dxa" w:w="100"/>
            </w:tcMar>
            <w:vAlign w:val="center"/>
          </w:tcPr>
          <w:p>
            <w:r>
              <w:rPr>
                <w:sz w:val="19"/>
                <w:szCs w:val="19"/>
              </w:rPr>
              <w:t xml:space="preserve">NoTestRun — fast, no test wait</w:t>
            </w:r>
          </w:p>
        </w:tc>
      </w:tr>
      <w:tr>
        <w:tc>
          <w:tcPr>
            <w:tcW w:type="dxa" w:w="2200"/>
            <w:shd w:fill="F2F2F2" w:val="clear"/>
            <w:tcMar>
              <w:top w:type="dxa" w:w="80"/>
              <w:left w:type="dxa" w:w="100"/>
              <w:bottom w:type="dxa" w:w="80"/>
              <w:right w:type="dxa" w:w="100"/>
            </w:tcMar>
            <w:vAlign w:val="center"/>
          </w:tcPr>
          <w:p>
            <w:r>
              <w:rPr>
                <w:sz w:val="19"/>
                <w:szCs w:val="19"/>
              </w:rPr>
              <w:t xml:space="preserve">qa</w:t>
            </w:r>
          </w:p>
        </w:tc>
        <w:tc>
          <w:tcPr>
            <w:tcW w:type="dxa" w:w="3700"/>
            <w:shd w:fill="F2F2F2" w:val="clear"/>
            <w:tcMar>
              <w:top w:type="dxa" w:w="80"/>
              <w:left w:type="dxa" w:w="100"/>
              <w:bottom w:type="dxa" w:w="80"/>
              <w:right w:type="dxa" w:w="100"/>
            </w:tcMar>
            <w:vAlign w:val="center"/>
          </w:tcPr>
          <w:p>
            <w:r>
              <w:rPr>
                <w:sz w:val="19"/>
                <w:szCs w:val="19"/>
              </w:rPr>
              <w:t xml:space="preserve">RunLocalTests (see note below)</w:t>
            </w:r>
          </w:p>
        </w:tc>
        <w:tc>
          <w:tcPr>
            <w:tcW w:type="dxa" w:w="3460"/>
            <w:shd w:fill="F2F2F2" w:val="clear"/>
            <w:tcMar>
              <w:top w:type="dxa" w:w="80"/>
              <w:left w:type="dxa" w:w="100"/>
              <w:bottom w:type="dxa" w:w="80"/>
              <w:right w:type="dxa" w:w="100"/>
            </w:tcMar>
            <w:vAlign w:val="center"/>
          </w:tcPr>
          <w:p>
            <w:r>
              <w:rPr>
                <w:sz w:val="19"/>
                <w:szCs w:val="19"/>
              </w:rPr>
              <w:t xml:space="preserve">NoTestRun — fast, no test wait</w:t>
            </w:r>
          </w:p>
        </w:tc>
      </w:tr>
      <w:tr>
        <w:tc>
          <w:tcPr>
            <w:tcW w:type="dxa" w:w="2200"/>
            <w:shd w:fill="FFFFFF" w:val="clear"/>
            <w:tcMar>
              <w:top w:type="dxa" w:w="80"/>
              <w:left w:type="dxa" w:w="100"/>
              <w:bottom w:type="dxa" w:w="80"/>
              <w:right w:type="dxa" w:w="100"/>
            </w:tcMar>
            <w:vAlign w:val="center"/>
          </w:tcPr>
          <w:p>
            <w:r>
              <w:rPr>
                <w:sz w:val="19"/>
                <w:szCs w:val="19"/>
              </w:rPr>
              <w:t xml:space="preserve">uat</w:t>
            </w:r>
          </w:p>
        </w:tc>
        <w:tc>
          <w:tcPr>
            <w:tcW w:type="dxa" w:w="3700"/>
            <w:shd w:fill="FFFFFF" w:val="clear"/>
            <w:tcMar>
              <w:top w:type="dxa" w:w="80"/>
              <w:left w:type="dxa" w:w="100"/>
              <w:bottom w:type="dxa" w:w="80"/>
              <w:right w:type="dxa" w:w="100"/>
            </w:tcMar>
            <w:vAlign w:val="center"/>
          </w:tcPr>
          <w:p>
            <w:r>
              <w:rPr>
                <w:sz w:val="19"/>
                <w:szCs w:val="19"/>
              </w:rPr>
              <w:t xml:space="preserve">RunLocalTests</w:t>
            </w:r>
          </w:p>
        </w:tc>
        <w:tc>
          <w:tcPr>
            <w:tcW w:type="dxa" w:w="3460"/>
            <w:shd w:fill="FFFFFF" w:val="clear"/>
            <w:tcMar>
              <w:top w:type="dxa" w:w="80"/>
              <w:left w:type="dxa" w:w="100"/>
              <w:bottom w:type="dxa" w:w="80"/>
              <w:right w:type="dxa" w:w="100"/>
            </w:tcMar>
            <w:vAlign w:val="center"/>
          </w:tcPr>
          <w:p>
            <w:r>
              <w:rPr>
                <w:sz w:val="19"/>
                <w:szCs w:val="19"/>
              </w:rPr>
              <w:t xml:space="preserve">RunLocalTests</w:t>
            </w:r>
          </w:p>
        </w:tc>
      </w:tr>
      <w:tr>
        <w:tc>
          <w:tcPr>
            <w:tcW w:type="dxa" w:w="2200"/>
            <w:shd w:fill="F2F2F2" w:val="clear"/>
            <w:tcMar>
              <w:top w:type="dxa" w:w="80"/>
              <w:left w:type="dxa" w:w="100"/>
              <w:bottom w:type="dxa" w:w="80"/>
              <w:right w:type="dxa" w:w="100"/>
            </w:tcMar>
            <w:vAlign w:val="center"/>
          </w:tcPr>
          <w:p>
            <w:r>
              <w:rPr>
                <w:sz w:val="19"/>
                <w:szCs w:val="19"/>
              </w:rPr>
              <w:t xml:space="preserve">production</w:t>
            </w:r>
          </w:p>
        </w:tc>
        <w:tc>
          <w:tcPr>
            <w:tcW w:type="dxa" w:w="3700"/>
            <w:shd w:fill="F2F2F2" w:val="clear"/>
            <w:tcMar>
              <w:top w:type="dxa" w:w="80"/>
              <w:left w:type="dxa" w:w="100"/>
              <w:bottom w:type="dxa" w:w="80"/>
              <w:right w:type="dxa" w:w="100"/>
            </w:tcMar>
            <w:vAlign w:val="center"/>
          </w:tcPr>
          <w:p>
            <w:r>
              <w:rPr>
                <w:sz w:val="19"/>
                <w:szCs w:val="19"/>
              </w:rPr>
              <w:t xml:space="preserve">RunLocalTests</w:t>
            </w:r>
          </w:p>
        </w:tc>
        <w:tc>
          <w:tcPr>
            <w:tcW w:type="dxa" w:w="3460"/>
            <w:shd w:fill="F2F2F2" w:val="clear"/>
            <w:tcMar>
              <w:top w:type="dxa" w:w="80"/>
              <w:left w:type="dxa" w:w="100"/>
              <w:bottom w:type="dxa" w:w="80"/>
              <w:right w:type="dxa" w:w="100"/>
            </w:tcMar>
            <w:vAlign w:val="center"/>
          </w:tcPr>
          <w:p>
            <w:r>
              <w:rPr>
                <w:sz w:val="19"/>
                <w:szCs w:val="19"/>
              </w:rPr>
              <w:t xml:space="preserve">RunLocalTests (Salesforce enforces this regardless of any pipeline setting)</w:t>
            </w:r>
          </w:p>
        </w:tc>
      </w:tr>
    </w:tbl>
    <w:p>
      <w:pPr>
        <w:spacing w:after="160" w:line="276"/>
      </w:pPr>
      <w:r>
        <w:rPr>
          <w:sz w:val="21"/>
          <w:szCs w:val="21"/>
        </w:rPr>
        <w:t xml:space="preserve"/>
      </w:r>
    </w:p>
    <w:tbl>
      <w:tblPr>
        <w:tblW w:type="dxa" w:w="9360"/>
        <w:tblBorders>
          <w:top w:val="single" w:color="B3261E" w:sz="4"/>
          <w:left w:val="single" w:color="B3261E" w:sz="24"/>
          <w:bottom w:val="single" w:color="B3261E" w:sz="4"/>
          <w:right w:val="single" w:color="B3261E" w:sz="4"/>
          <w:insideH w:val="single" w:color="auto" w:sz="4"/>
          <w:insideV w:val="single" w:color="auto" w:sz="4"/>
        </w:tblBorders>
      </w:tblPr>
      <w:tblGrid>
        <w:gridCol w:w="9360"/>
      </w:tblGrid>
      <w:tr>
        <w:tc>
          <w:tcPr>
            <w:tcW w:type="dxa" w:w="9360"/>
            <w:shd w:fill="F2F2F2" w:val="clear"/>
            <w:tcMar>
              <w:top w:type="dxa" w:w="120"/>
              <w:left w:type="dxa" w:w="200"/>
              <w:bottom w:type="dxa" w:w="120"/>
              <w:right w:type="dxa" w:w="200"/>
            </w:tcMar>
          </w:tcPr>
          <w:p>
            <w:pPr>
              <w:spacing w:after="60"/>
            </w:pPr>
            <w:r>
              <w:rPr>
                <w:b/>
                <w:bCs/>
                <w:color w:val="B3261E"/>
                <w:sz w:val="20"/>
                <w:szCs w:val="20"/>
              </w:rPr>
              <w:t xml:space="preserve">Important platform constraint discovered during testing</w:t>
            </w:r>
          </w:p>
          <w:p>
            <w:pPr>
              <w:spacing w:after="0"/>
            </w:pPr>
            <w:r>
              <w:rPr>
                <w:color w:val="333333"/>
                <w:sz w:val="20"/>
                <w:szCs w:val="20"/>
              </w:rPr>
              <w:t xml:space="preserve">Salesforce's sf project deploy validate command (used for the dry-run merge gate) does not accept --test-level NoTestRun at all — it hard-rejects it with “Expected --test-level=NoTestRun to be one of: RunAllTestsInOrg, RunLocalTests, RunSpecifiedTests, RunRelevantTests”. Only an actual deploy (sf project deploy start) accepts NoTestRun. This means the PR merge gate always runs RunLocalTests, for every branch — there is no way to skip tests at that stage. The dev/qa “skip tests” behavior is implemented at the real-deploy stage instead, using a one-step direct deploy rather than the validate-then-quick-deploy pattern used for uat/production (see Section 7.3).</w:t>
            </w:r>
          </w:p>
        </w:tc>
      </w:tr>
    </w:tbl>
    <w:p>
      <w:pPr>
        <w:spacing w:after="160" w:line="276"/>
      </w:pPr>
      <w:r>
        <w:rPr>
          <w:sz w:val="21"/>
          <w:szCs w:val="21"/>
        </w:rPr>
        <w:t xml:space="preserve"/>
      </w:r>
    </w:p>
    <w:p>
      <w:pPr>
        <w:pStyle w:val="Heading2"/>
        <w:spacing w:after="160" w:before="360"/>
      </w:pPr>
      <w:r>
        <w:rPr>
          <w:b/>
          <w:bCs/>
          <w:color w:val="1F3864"/>
          <w:sz w:val="26"/>
          <w:szCs w:val="26"/>
        </w:rPr>
        <w:t xml:space="preserve">6.3 GitHub Environments &amp; Secret Isolation</w:t>
      </w:r>
    </w:p>
    <w:p>
      <w:pPr>
        <w:spacing w:after="160" w:line="276"/>
      </w:pPr>
      <w:r>
        <w:rPr>
          <w:sz w:val="21"/>
          <w:szCs w:val="21"/>
        </w:rPr>
        <w:t xml:space="preserve">Four GitHub Environments were created — dev, qa, uat, production — one per Salesforce org. Each environment can hold its own copy of the same four secret names (SF_CLIENT_ID, SF_USERNAME, SF_INSTANCE_URL, SF_JWT_KEY). A workflow job that sets environment: &lt;name&gt; automatically reads that environment's secrets instead of the repository-level ones.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700"/>
        <w:gridCol w:w="4200"/>
        <w:gridCol w:w="2000"/>
        <w:gridCol w:w="1460"/>
      </w:tblGrid>
      <w:tr>
        <w:trPr>
          <w:tblHeader/>
        </w:trPr>
        <w:tc>
          <w:tcPr>
            <w:tcW w:type="dxa" w:w="1700"/>
            <w:shd w:fill="1F3864" w:val="clear"/>
            <w:tcMar>
              <w:top w:type="dxa" w:w="80"/>
              <w:left w:type="dxa" w:w="100"/>
              <w:bottom w:type="dxa" w:w="80"/>
              <w:right w:type="dxa" w:w="100"/>
            </w:tcMar>
            <w:vAlign w:val="center"/>
          </w:tcPr>
          <w:p>
            <w:r>
              <w:rPr>
                <w:b/>
                <w:bCs/>
                <w:color w:val="FFFFFF"/>
                <w:sz w:val="19"/>
                <w:szCs w:val="19"/>
              </w:rPr>
              <w:t xml:space="preserve">Environment</w:t>
            </w:r>
          </w:p>
        </w:tc>
        <w:tc>
          <w:tcPr>
            <w:tcW w:type="dxa" w:w="4200"/>
            <w:shd w:fill="1F3864" w:val="clear"/>
            <w:tcMar>
              <w:top w:type="dxa" w:w="80"/>
              <w:left w:type="dxa" w:w="100"/>
              <w:bottom w:type="dxa" w:w="80"/>
              <w:right w:type="dxa" w:w="100"/>
            </w:tcMar>
            <w:vAlign w:val="center"/>
          </w:tcPr>
          <w:p>
            <w:r>
              <w:rPr>
                <w:b/>
                <w:bCs/>
                <w:color w:val="FFFFFF"/>
                <w:sz w:val="19"/>
                <w:szCs w:val="19"/>
              </w:rPr>
              <w:t xml:space="preserve">Secrets configured</w:t>
            </w:r>
          </w:p>
        </w:tc>
        <w:tc>
          <w:tcPr>
            <w:tcW w:type="dxa" w:w="2000"/>
            <w:shd w:fill="1F3864" w:val="clear"/>
            <w:tcMar>
              <w:top w:type="dxa" w:w="80"/>
              <w:left w:type="dxa" w:w="100"/>
              <w:bottom w:type="dxa" w:w="80"/>
              <w:right w:type="dxa" w:w="100"/>
            </w:tcMar>
            <w:vAlign w:val="center"/>
          </w:tcPr>
          <w:p>
            <w:r>
              <w:rPr>
                <w:b/>
                <w:bCs/>
                <w:color w:val="FFFFFF"/>
                <w:sz w:val="19"/>
                <w:szCs w:val="19"/>
              </w:rPr>
              <w:t xml:space="preserve">Required reviewer</w:t>
            </w:r>
          </w:p>
        </w:tc>
        <w:tc>
          <w:tcPr>
            <w:tcW w:type="dxa" w:w="1460"/>
            <w:shd w:fill="1F3864" w:val="clear"/>
            <w:tcMar>
              <w:top w:type="dxa" w:w="80"/>
              <w:left w:type="dxa" w:w="100"/>
              <w:bottom w:type="dxa" w:w="80"/>
              <w:right w:type="dxa" w:w="100"/>
            </w:tcMar>
            <w:vAlign w:val="center"/>
          </w:tcPr>
          <w:p>
            <w:r>
              <w:rPr>
                <w:b/>
                <w:bCs/>
                <w:color w:val="FFFFFF"/>
                <w:sz w:val="19"/>
                <w:szCs w:val="19"/>
              </w:rPr>
              <w:t xml:space="preserve">Status</w:t>
            </w:r>
          </w:p>
        </w:tc>
      </w:tr>
      <w:tr>
        <w:tc>
          <w:tcPr>
            <w:tcW w:type="dxa" w:w="1700"/>
            <w:shd w:fill="FFFFFF" w:val="clear"/>
            <w:tcMar>
              <w:top w:type="dxa" w:w="80"/>
              <w:left w:type="dxa" w:w="100"/>
              <w:bottom w:type="dxa" w:w="80"/>
              <w:right w:type="dxa" w:w="100"/>
            </w:tcMar>
            <w:vAlign w:val="center"/>
          </w:tcPr>
          <w:p>
            <w:r>
              <w:rPr>
                <w:sz w:val="19"/>
                <w:szCs w:val="19"/>
              </w:rPr>
              <w:t xml:space="preserve">dev</w:t>
            </w:r>
          </w:p>
        </w:tc>
        <w:tc>
          <w:tcPr>
            <w:tcW w:type="dxa" w:w="4200"/>
            <w:shd w:fill="FFFFFF" w:val="clear"/>
            <w:tcMar>
              <w:top w:type="dxa" w:w="80"/>
              <w:left w:type="dxa" w:w="100"/>
              <w:bottom w:type="dxa" w:w="80"/>
              <w:right w:type="dxa" w:w="100"/>
            </w:tcMar>
            <w:vAlign w:val="center"/>
          </w:tcPr>
          <w:p>
            <w:r>
              <w:rPr>
                <w:sz w:val="19"/>
                <w:szCs w:val="19"/>
              </w:rPr>
              <w:t xml:space="preserve">None set at environment level — falls back to the repository-level secrets (the real DevOrg credentials)</w:t>
            </w:r>
          </w:p>
        </w:tc>
        <w:tc>
          <w:tcPr>
            <w:tcW w:type="dxa" w:w="2000"/>
            <w:shd w:fill="FFFFFF" w:val="clear"/>
            <w:tcMar>
              <w:top w:type="dxa" w:w="80"/>
              <w:left w:type="dxa" w:w="100"/>
              <w:bottom w:type="dxa" w:w="80"/>
              <w:right w:type="dxa" w:w="100"/>
            </w:tcMar>
            <w:vAlign w:val="center"/>
          </w:tcPr>
          <w:p>
            <w:r>
              <w:rPr>
                <w:sz w:val="19"/>
                <w:szCs w:val="19"/>
              </w:rPr>
              <w:t xml:space="preserve">None</w:t>
            </w:r>
          </w:p>
        </w:tc>
        <w:tc>
          <w:tcPr>
            <w:tcW w:type="dxa" w:w="1460"/>
            <w:shd w:fill="FFFFFF" w:val="clear"/>
            <w:tcMar>
              <w:top w:type="dxa" w:w="80"/>
              <w:left w:type="dxa" w:w="100"/>
              <w:bottom w:type="dxa" w:w="80"/>
              <w:right w:type="dxa" w:w="100"/>
            </w:tcMar>
            <w:vAlign w:val="center"/>
          </w:tcPr>
          <w:p>
            <w:r>
              <w:rPr>
                <w:sz w:val="19"/>
                <w:szCs w:val="19"/>
              </w:rPr>
              <w:t xml:space="preserve">Live — points at the real Dev org</w:t>
            </w:r>
          </w:p>
        </w:tc>
      </w:tr>
      <w:tr>
        <w:tc>
          <w:tcPr>
            <w:tcW w:type="dxa" w:w="1700"/>
            <w:shd w:fill="F2F2F2" w:val="clear"/>
            <w:tcMar>
              <w:top w:type="dxa" w:w="80"/>
              <w:left w:type="dxa" w:w="100"/>
              <w:bottom w:type="dxa" w:w="80"/>
              <w:right w:type="dxa" w:w="100"/>
            </w:tcMar>
            <w:vAlign w:val="center"/>
          </w:tcPr>
          <w:p>
            <w:r>
              <w:rPr>
                <w:sz w:val="19"/>
                <w:szCs w:val="19"/>
              </w:rPr>
              <w:t xml:space="preserve">qa</w:t>
            </w:r>
          </w:p>
        </w:tc>
        <w:tc>
          <w:tcPr>
            <w:tcW w:type="dxa" w:w="4200"/>
            <w:shd w:fill="F2F2F2" w:val="clear"/>
            <w:tcMar>
              <w:top w:type="dxa" w:w="80"/>
              <w:left w:type="dxa" w:w="100"/>
              <w:bottom w:type="dxa" w:w="80"/>
              <w:right w:type="dxa" w:w="100"/>
            </w:tcMar>
            <w:vAlign w:val="center"/>
          </w:tcPr>
          <w:p>
            <w:r>
              <w:rPr>
                <w:sz w:val="19"/>
                <w:szCs w:val="19"/>
              </w:rPr>
              <w:t xml:space="preserve">Placeholder values (REPLACE_ME_*)</w:t>
            </w:r>
          </w:p>
        </w:tc>
        <w:tc>
          <w:tcPr>
            <w:tcW w:type="dxa" w:w="2000"/>
            <w:shd w:fill="F2F2F2" w:val="clear"/>
            <w:tcMar>
              <w:top w:type="dxa" w:w="80"/>
              <w:left w:type="dxa" w:w="100"/>
              <w:bottom w:type="dxa" w:w="80"/>
              <w:right w:type="dxa" w:w="100"/>
            </w:tcMar>
            <w:vAlign w:val="center"/>
          </w:tcPr>
          <w:p>
            <w:r>
              <w:rPr>
                <w:sz w:val="19"/>
                <w:szCs w:val="19"/>
              </w:rPr>
              <w:t xml:space="preserve">None</w:t>
            </w:r>
          </w:p>
        </w:tc>
        <w:tc>
          <w:tcPr>
            <w:tcW w:type="dxa" w:w="1460"/>
            <w:shd w:fill="F2F2F2" w:val="clear"/>
            <w:tcMar>
              <w:top w:type="dxa" w:w="80"/>
              <w:left w:type="dxa" w:w="100"/>
              <w:bottom w:type="dxa" w:w="80"/>
              <w:right w:type="dxa" w:w="100"/>
            </w:tcMar>
            <w:vAlign w:val="center"/>
          </w:tcPr>
          <w:p>
            <w:r>
              <w:rPr>
                <w:sz w:val="19"/>
                <w:szCs w:val="19"/>
              </w:rPr>
              <w:t xml:space="preserve">Not yet linked to a real org</w:t>
            </w:r>
          </w:p>
        </w:tc>
      </w:tr>
      <w:tr>
        <w:tc>
          <w:tcPr>
            <w:tcW w:type="dxa" w:w="1700"/>
            <w:shd w:fill="FFFFFF" w:val="clear"/>
            <w:tcMar>
              <w:top w:type="dxa" w:w="80"/>
              <w:left w:type="dxa" w:w="100"/>
              <w:bottom w:type="dxa" w:w="80"/>
              <w:right w:type="dxa" w:w="100"/>
            </w:tcMar>
            <w:vAlign w:val="center"/>
          </w:tcPr>
          <w:p>
            <w:r>
              <w:rPr>
                <w:sz w:val="19"/>
                <w:szCs w:val="19"/>
              </w:rPr>
              <w:t xml:space="preserve">uat</w:t>
            </w:r>
          </w:p>
        </w:tc>
        <w:tc>
          <w:tcPr>
            <w:tcW w:type="dxa" w:w="4200"/>
            <w:shd w:fill="FFFFFF" w:val="clear"/>
            <w:tcMar>
              <w:top w:type="dxa" w:w="80"/>
              <w:left w:type="dxa" w:w="100"/>
              <w:bottom w:type="dxa" w:w="80"/>
              <w:right w:type="dxa" w:w="100"/>
            </w:tcMar>
            <w:vAlign w:val="center"/>
          </w:tcPr>
          <w:p>
            <w:r>
              <w:rPr>
                <w:sz w:val="19"/>
                <w:szCs w:val="19"/>
              </w:rPr>
              <w:t xml:space="preserve">Placeholder values (REPLACE_ME_*)</w:t>
            </w:r>
          </w:p>
        </w:tc>
        <w:tc>
          <w:tcPr>
            <w:tcW w:type="dxa" w:w="2000"/>
            <w:shd w:fill="FFFFFF" w:val="clear"/>
            <w:tcMar>
              <w:top w:type="dxa" w:w="80"/>
              <w:left w:type="dxa" w:w="100"/>
              <w:bottom w:type="dxa" w:w="80"/>
              <w:right w:type="dxa" w:w="100"/>
            </w:tcMar>
            <w:vAlign w:val="center"/>
          </w:tcPr>
          <w:p>
            <w:r>
              <w:rPr>
                <w:sz w:val="19"/>
                <w:szCs w:val="19"/>
              </w:rPr>
              <w:t xml:space="preserve">jagadeesh-dereddy</w:t>
            </w:r>
          </w:p>
        </w:tc>
        <w:tc>
          <w:tcPr>
            <w:tcW w:type="dxa" w:w="1460"/>
            <w:shd w:fill="FFFFFF" w:val="clear"/>
            <w:tcMar>
              <w:top w:type="dxa" w:w="80"/>
              <w:left w:type="dxa" w:w="100"/>
              <w:bottom w:type="dxa" w:w="80"/>
              <w:right w:type="dxa" w:w="100"/>
            </w:tcMar>
            <w:vAlign w:val="center"/>
          </w:tcPr>
          <w:p>
            <w:r>
              <w:rPr>
                <w:sz w:val="19"/>
                <w:szCs w:val="19"/>
              </w:rPr>
              <w:t xml:space="preserve">Not yet linked to a real org</w:t>
            </w:r>
          </w:p>
        </w:tc>
      </w:tr>
      <w:tr>
        <w:tc>
          <w:tcPr>
            <w:tcW w:type="dxa" w:w="1700"/>
            <w:shd w:fill="F2F2F2" w:val="clear"/>
            <w:tcMar>
              <w:top w:type="dxa" w:w="80"/>
              <w:left w:type="dxa" w:w="100"/>
              <w:bottom w:type="dxa" w:w="80"/>
              <w:right w:type="dxa" w:w="100"/>
            </w:tcMar>
            <w:vAlign w:val="center"/>
          </w:tcPr>
          <w:p>
            <w:r>
              <w:rPr>
                <w:sz w:val="19"/>
                <w:szCs w:val="19"/>
              </w:rPr>
              <w:t xml:space="preserve">production</w:t>
            </w:r>
          </w:p>
        </w:tc>
        <w:tc>
          <w:tcPr>
            <w:tcW w:type="dxa" w:w="4200"/>
            <w:shd w:fill="F2F2F2" w:val="clear"/>
            <w:tcMar>
              <w:top w:type="dxa" w:w="80"/>
              <w:left w:type="dxa" w:w="100"/>
              <w:bottom w:type="dxa" w:w="80"/>
              <w:right w:type="dxa" w:w="100"/>
            </w:tcMar>
            <w:vAlign w:val="center"/>
          </w:tcPr>
          <w:p>
            <w:r>
              <w:rPr>
                <w:sz w:val="19"/>
                <w:szCs w:val="19"/>
              </w:rPr>
              <w:t xml:space="preserve">Placeholder values (REPLACE_ME_*)</w:t>
            </w:r>
          </w:p>
        </w:tc>
        <w:tc>
          <w:tcPr>
            <w:tcW w:type="dxa" w:w="2000"/>
            <w:shd w:fill="F2F2F2" w:val="clear"/>
            <w:tcMar>
              <w:top w:type="dxa" w:w="80"/>
              <w:left w:type="dxa" w:w="100"/>
              <w:bottom w:type="dxa" w:w="80"/>
              <w:right w:type="dxa" w:w="100"/>
            </w:tcMar>
            <w:vAlign w:val="center"/>
          </w:tcPr>
          <w:p>
            <w:r>
              <w:rPr>
                <w:sz w:val="19"/>
                <w:szCs w:val="19"/>
              </w:rPr>
              <w:t xml:space="preserve">jagadeesh-dereddy</w:t>
            </w:r>
          </w:p>
        </w:tc>
        <w:tc>
          <w:tcPr>
            <w:tcW w:type="dxa" w:w="1460"/>
            <w:shd w:fill="F2F2F2" w:val="clear"/>
            <w:tcMar>
              <w:top w:type="dxa" w:w="80"/>
              <w:left w:type="dxa" w:w="100"/>
              <w:bottom w:type="dxa" w:w="80"/>
              <w:right w:type="dxa" w:w="100"/>
            </w:tcMar>
            <w:vAlign w:val="center"/>
          </w:tcPr>
          <w:p>
            <w:r>
              <w:rPr>
                <w:sz w:val="19"/>
                <w:szCs w:val="19"/>
              </w:rPr>
              <w:t xml:space="preserve">Not yet linked to a real org</w:t>
            </w:r>
          </w:p>
        </w:tc>
      </w:tr>
    </w:tbl>
    <w:p>
      <w:pPr>
        <w:spacing w:after="160" w:line="276"/>
      </w:pPr>
      <w:r>
        <w:rPr>
          <w:sz w:val="21"/>
          <w:szCs w:val="21"/>
        </w:rPr>
        <w:t xml:space="preserve"/>
      </w:r>
    </w:p>
    <w:tbl>
      <w:tblPr>
        <w:tblW w:type="dxa" w:w="9360"/>
        <w:tblBorders>
          <w:top w:val="single" w:color="B45309" w:sz="4"/>
          <w:left w:val="single" w:color="B45309" w:sz="24"/>
          <w:bottom w:val="single" w:color="B45309" w:sz="4"/>
          <w:right w:val="single" w:color="B45309" w:sz="4"/>
          <w:insideH w:val="single" w:color="auto" w:sz="4"/>
          <w:insideV w:val="single" w:color="auto" w:sz="4"/>
        </w:tblBorders>
      </w:tblPr>
      <w:tblGrid>
        <w:gridCol w:w="9360"/>
      </w:tblGrid>
      <w:tr>
        <w:tc>
          <w:tcPr>
            <w:tcW w:type="dxa" w:w="9360"/>
            <w:shd w:fill="F2F2F2" w:val="clear"/>
            <w:tcMar>
              <w:top w:type="dxa" w:w="120"/>
              <w:left w:type="dxa" w:w="200"/>
              <w:bottom w:type="dxa" w:w="120"/>
              <w:right w:type="dxa" w:w="200"/>
            </w:tcMar>
          </w:tcPr>
          <w:p>
            <w:pPr>
              <w:spacing w:after="60"/>
            </w:pPr>
            <w:r>
              <w:rPr>
                <w:b/>
                <w:bCs/>
                <w:color w:val="B45309"/>
                <w:sz w:val="20"/>
                <w:szCs w:val="20"/>
              </w:rPr>
              <w:t xml:space="preserve">Why placeholders instead of leaving secrets unset</w:t>
            </w:r>
          </w:p>
          <w:p>
            <w:pPr>
              <w:spacing w:after="0"/>
            </w:pPr>
            <w:r>
              <w:rPr>
                <w:color w:val="333333"/>
                <w:sz w:val="20"/>
                <w:szCs w:val="20"/>
              </w:rPr>
              <w:t xml:space="preserve">GitHub Secret lookup falls back to the repository-level secret if an environment doesn't define its own. Leaving qa/uat/production undefined would have meant any workflow run against them silently succeeded using the real Dev org's credentials — a serious risk (e.g. a “Production” deploy quietly landing in the practice Dev org instead). Setting obviously-fake placeholder values instead means any such run fails loudly at the authentication step until real credentials are added.</w:t>
            </w:r>
          </w:p>
        </w:tc>
      </w:tr>
    </w:tbl>
    <w:p>
      <w:pPr>
        <w:spacing w:after="160" w:line="276"/>
      </w:pPr>
      <w:r>
        <w:rPr>
          <w:sz w:val="21"/>
          <w:szCs w:val="21"/>
        </w:rPr>
        <w:t xml:space="preserve"/>
      </w:r>
    </w:p>
    <w:p>
      <w:pPr>
        <w:spacing w:after="160" w:line="276"/>
      </w:pPr>
      <w:r>
        <w:rPr>
          <w:sz w:val="21"/>
          <w:szCs w:val="21"/>
        </w:rPr>
        <w:t xml:space="preserve">Required reviewers on the uat and production GitHub Environments mean that any workflow job scoped to those environments — whether the PR-validate job or the real deploy job — pauses and waits for manual approval before it runs. This is the actual control that gates human sign-off before anything touches those orgs; it lives in GitHub's Environment settings, not in workflow YAML.</w:t>
      </w:r>
    </w:p>
    <w:p>
      <w:pPr>
        <w:pStyle w:val="Heading3"/>
        <w:spacing w:after="120" w:before="240"/>
      </w:pPr>
      <w:r>
        <w:rPr>
          <w:b/>
          <w:bCs/>
          <w:color w:val="2E5AAC"/>
          <w:sz w:val="22"/>
          <w:szCs w:val="22"/>
        </w:rPr>
        <w:t xml:space="preserve">6.3.1 A Design Choice That Was Tried and Reverted: Environment Branch Restrictions</w:t>
      </w:r>
    </w:p>
    <w:p>
      <w:pPr>
        <w:spacing w:after="160" w:line="276"/>
      </w:pPr>
      <w:r>
        <w:rPr>
          <w:sz w:val="21"/>
          <w:szCs w:val="21"/>
        </w:rPr>
        <w:t xml:space="preserve">GitHub Environments support restricting which branch is allowed to deploy to them (e.g. “only release may deploy to production”). This was configured initially, then deliberately removed after live testing showed it breaks pull-request-triggered jobs entirely.</w:t>
      </w:r>
    </w:p>
    <w:p>
      <w:pPr>
        <w:spacing w:after="160" w:line="276"/>
      </w:pPr>
      <w:r>
        <w:rPr>
          <w:sz w:val="21"/>
          <w:szCs w:val="21"/>
        </w:rPr>
        <w:t xml:space="preserve">Verification performed: a throwaway test PR was opened into dev (which had a branch-restriction policy at the time). The validate job never started at all — zero steps executed — because pull_request-triggered workflow runs execute against a synthetic merge ref (refs/pull/N/merge), not the literal branch name, so the policy check silently failed to match. After removing the branch-restriction policies (keeping everything else — secrets, required reviewers, isolation), the same test PR ran and passed normally.</w:t>
      </w:r>
    </w:p>
    <w:tbl>
      <w:tblPr>
        <w:tblW w:type="dxa" w:w="9360"/>
        <w:tblBorders>
          <w:top w:val="single" w:color="1E7A34" w:sz="4"/>
          <w:left w:val="single" w:color="1E7A34" w:sz="24"/>
          <w:bottom w:val="single" w:color="1E7A34" w:sz="4"/>
          <w:right w:val="single" w:color="1E7A34" w:sz="4"/>
          <w:insideH w:val="single" w:color="auto" w:sz="4"/>
          <w:insideV w:val="single" w:color="auto" w:sz="4"/>
        </w:tblBorders>
      </w:tblPr>
      <w:tblGrid>
        <w:gridCol w:w="9360"/>
      </w:tblGrid>
      <w:tr>
        <w:tc>
          <w:tcPr>
            <w:tcW w:type="dxa" w:w="9360"/>
            <w:shd w:fill="F2F2F2" w:val="clear"/>
            <w:tcMar>
              <w:top w:type="dxa" w:w="120"/>
              <w:left w:type="dxa" w:w="200"/>
              <w:bottom w:type="dxa" w:w="120"/>
              <w:right w:type="dxa" w:w="200"/>
            </w:tcMar>
          </w:tcPr>
          <w:p>
            <w:pPr>
              <w:spacing w:after="60"/>
            </w:pPr>
            <w:r>
              <w:rPr>
                <w:b/>
                <w:bCs/>
                <w:color w:val="1E7A34"/>
                <w:sz w:val="20"/>
                <w:szCs w:val="20"/>
              </w:rPr>
              <w:t xml:space="preserve">Conclusion</w:t>
            </w:r>
          </w:p>
          <w:p>
            <w:pPr>
              <w:spacing w:after="0"/>
            </w:pPr>
            <w:r>
              <w:rPr>
                <w:color w:val="333333"/>
                <w:sz w:val="20"/>
                <w:szCs w:val="20"/>
              </w:rPr>
              <w:t xml:space="preserve">Environment branch-restriction policies are not compatible with a shared validate+deploy usage pattern across pull_request and push triggers. The protection that actually matters here — which branch can reach which org — is enforced by repository branch protection (Section 6.4) combined with each workflow's own on: branches: [...] trigger scoping, not by the Environment's branch policy field.</w:t>
            </w:r>
          </w:p>
        </w:tc>
      </w:tr>
    </w:tbl>
    <w:p>
      <w:pPr>
        <w:spacing w:after="160" w:line="276"/>
      </w:pPr>
      <w:r>
        <w:rPr>
          <w:sz w:val="21"/>
          <w:szCs w:val="21"/>
        </w:rPr>
        <w:t xml:space="preserve"/>
      </w:r>
    </w:p>
    <w:p>
      <w:pPr>
        <w:pStyle w:val="Heading2"/>
        <w:spacing w:after="160" w:before="360"/>
      </w:pPr>
      <w:r>
        <w:rPr>
          <w:b/>
          <w:bCs/>
          <w:color w:val="1F3864"/>
          <w:sz w:val="26"/>
          <w:szCs w:val="26"/>
        </w:rPr>
        <w:t xml:space="preserve">6.4 Branch Protection Rules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300"/>
        <w:gridCol w:w="1800"/>
        <w:gridCol w:w="2600"/>
        <w:gridCol w:w="3660"/>
      </w:tblGrid>
      <w:tr>
        <w:trPr>
          <w:tblHeader/>
        </w:trPr>
        <w:tc>
          <w:tcPr>
            <w:tcW w:type="dxa" w:w="1300"/>
            <w:shd w:fill="1F3864" w:val="clear"/>
            <w:tcMar>
              <w:top w:type="dxa" w:w="80"/>
              <w:left w:type="dxa" w:w="100"/>
              <w:bottom w:type="dxa" w:w="80"/>
              <w:right w:type="dxa" w:w="100"/>
            </w:tcMar>
            <w:vAlign w:val="center"/>
          </w:tcPr>
          <w:p>
            <w:r>
              <w:rPr>
                <w:b/>
                <w:bCs/>
                <w:color w:val="FFFFFF"/>
                <w:sz w:val="19"/>
                <w:szCs w:val="19"/>
              </w:rPr>
              <w:t xml:space="preserve">Branch</w:t>
            </w:r>
          </w:p>
        </w:tc>
        <w:tc>
          <w:tcPr>
            <w:tcW w:type="dxa" w:w="1800"/>
            <w:shd w:fill="1F3864" w:val="clear"/>
            <w:tcMar>
              <w:top w:type="dxa" w:w="80"/>
              <w:left w:type="dxa" w:w="100"/>
              <w:bottom w:type="dxa" w:w="80"/>
              <w:right w:type="dxa" w:w="100"/>
            </w:tcMar>
            <w:vAlign w:val="center"/>
          </w:tcPr>
          <w:p>
            <w:r>
              <w:rPr>
                <w:b/>
                <w:bCs/>
                <w:color w:val="FFFFFF"/>
                <w:sz w:val="19"/>
                <w:szCs w:val="19"/>
              </w:rPr>
              <w:t xml:space="preserve">Required approvals</w:t>
            </w:r>
          </w:p>
        </w:tc>
        <w:tc>
          <w:tcPr>
            <w:tcW w:type="dxa" w:w="2600"/>
            <w:shd w:fill="1F3864" w:val="clear"/>
            <w:tcMar>
              <w:top w:type="dxa" w:w="80"/>
              <w:left w:type="dxa" w:w="100"/>
              <w:bottom w:type="dxa" w:w="80"/>
              <w:right w:type="dxa" w:w="100"/>
            </w:tcMar>
            <w:vAlign w:val="center"/>
          </w:tcPr>
          <w:p>
            <w:r>
              <w:rPr>
                <w:b/>
                <w:bCs/>
                <w:color w:val="FFFFFF"/>
                <w:sz w:val="19"/>
                <w:szCs w:val="19"/>
              </w:rPr>
              <w:t xml:space="preserve">Required status checks</w:t>
            </w:r>
          </w:p>
        </w:tc>
        <w:tc>
          <w:tcPr>
            <w:tcW w:type="dxa" w:w="3660"/>
            <w:shd w:fill="1F3864" w:val="clear"/>
            <w:tcMar>
              <w:top w:type="dxa" w:w="80"/>
              <w:left w:type="dxa" w:w="100"/>
              <w:bottom w:type="dxa" w:w="80"/>
              <w:right w:type="dxa" w:w="100"/>
            </w:tcMar>
            <w:vAlign w:val="center"/>
          </w:tcPr>
          <w:p>
            <w:r>
              <w:rPr>
                <w:b/>
                <w:bCs/>
                <w:color w:val="FFFFFF"/>
                <w:sz w:val="19"/>
                <w:szCs w:val="19"/>
              </w:rPr>
              <w:t xml:space="preserve">Other rules</w:t>
            </w:r>
          </w:p>
        </w:tc>
      </w:tr>
      <w:tr>
        <w:tc>
          <w:tcPr>
            <w:tcW w:type="dxa" w:w="1300"/>
            <w:shd w:fill="FFFFFF" w:val="clear"/>
            <w:tcMar>
              <w:top w:type="dxa" w:w="80"/>
              <w:left w:type="dxa" w:w="100"/>
              <w:bottom w:type="dxa" w:w="80"/>
              <w:right w:type="dxa" w:w="100"/>
            </w:tcMar>
            <w:vAlign w:val="center"/>
          </w:tcPr>
          <w:p>
            <w:r>
              <w:rPr>
                <w:sz w:val="19"/>
                <w:szCs w:val="19"/>
              </w:rPr>
              <w:t xml:space="preserve">dev</w:t>
            </w:r>
          </w:p>
        </w:tc>
        <w:tc>
          <w:tcPr>
            <w:tcW w:type="dxa" w:w="1800"/>
            <w:shd w:fill="FFFFFF" w:val="clear"/>
            <w:tcMar>
              <w:top w:type="dxa" w:w="80"/>
              <w:left w:type="dxa" w:w="100"/>
              <w:bottom w:type="dxa" w:w="80"/>
              <w:right w:type="dxa" w:w="100"/>
            </w:tcMar>
            <w:vAlign w:val="center"/>
          </w:tcPr>
          <w:p>
            <w:r>
              <w:rPr>
                <w:sz w:val="19"/>
                <w:szCs w:val="19"/>
              </w:rPr>
              <w:t xml:space="preserve">1</w:t>
            </w:r>
          </w:p>
        </w:tc>
        <w:tc>
          <w:tcPr>
            <w:tcW w:type="dxa" w:w="2600"/>
            <w:shd w:fill="FFFFFF" w:val="clear"/>
            <w:tcMar>
              <w:top w:type="dxa" w:w="80"/>
              <w:left w:type="dxa" w:w="100"/>
              <w:bottom w:type="dxa" w:w="80"/>
              <w:right w:type="dxa" w:w="100"/>
            </w:tcMar>
            <w:vAlign w:val="center"/>
          </w:tcPr>
          <w:p>
            <w:r>
              <w:rPr>
                <w:sz w:val="19"/>
                <w:szCs w:val="19"/>
              </w:rPr>
              <w:t xml:space="preserve">pmd, validate</w:t>
            </w:r>
          </w:p>
        </w:tc>
        <w:tc>
          <w:tcPr>
            <w:tcW w:type="dxa" w:w="3660"/>
            <w:shd w:fill="FFFFFF" w:val="clear"/>
            <w:tcMar>
              <w:top w:type="dxa" w:w="80"/>
              <w:left w:type="dxa" w:w="100"/>
              <w:bottom w:type="dxa" w:w="80"/>
              <w:right w:type="dxa" w:w="100"/>
            </w:tcMar>
            <w:vAlign w:val="center"/>
          </w:tcPr>
          <w:p>
            <w:r>
              <w:rPr>
                <w:sz w:val="19"/>
                <w:szCs w:val="19"/>
              </w:rPr>
              <w:t xml:space="preserve">dismiss_stale_reviews, require_last_push_approval, strict (up-to-date branch required)</w:t>
            </w:r>
          </w:p>
        </w:tc>
      </w:tr>
      <w:tr>
        <w:tc>
          <w:tcPr>
            <w:tcW w:type="dxa" w:w="1300"/>
            <w:shd w:fill="F2F2F2" w:val="clear"/>
            <w:tcMar>
              <w:top w:type="dxa" w:w="80"/>
              <w:left w:type="dxa" w:w="100"/>
              <w:bottom w:type="dxa" w:w="80"/>
              <w:right w:type="dxa" w:w="100"/>
            </w:tcMar>
            <w:vAlign w:val="center"/>
          </w:tcPr>
          <w:p>
            <w:r>
              <w:rPr>
                <w:sz w:val="19"/>
                <w:szCs w:val="19"/>
              </w:rPr>
              <w:t xml:space="preserve">qa</w:t>
            </w:r>
          </w:p>
        </w:tc>
        <w:tc>
          <w:tcPr>
            <w:tcW w:type="dxa" w:w="1800"/>
            <w:shd w:fill="F2F2F2" w:val="clear"/>
            <w:tcMar>
              <w:top w:type="dxa" w:w="80"/>
              <w:left w:type="dxa" w:w="100"/>
              <w:bottom w:type="dxa" w:w="80"/>
              <w:right w:type="dxa" w:w="100"/>
            </w:tcMar>
            <w:vAlign w:val="center"/>
          </w:tcPr>
          <w:p>
            <w:r>
              <w:rPr>
                <w:sz w:val="19"/>
                <w:szCs w:val="19"/>
              </w:rPr>
              <w:t xml:space="preserve">1</w:t>
            </w:r>
          </w:p>
        </w:tc>
        <w:tc>
          <w:tcPr>
            <w:tcW w:type="dxa" w:w="2600"/>
            <w:shd w:fill="F2F2F2" w:val="clear"/>
            <w:tcMar>
              <w:top w:type="dxa" w:w="80"/>
              <w:left w:type="dxa" w:w="100"/>
              <w:bottom w:type="dxa" w:w="80"/>
              <w:right w:type="dxa" w:w="100"/>
            </w:tcMar>
            <w:vAlign w:val="center"/>
          </w:tcPr>
          <w:p>
            <w:r>
              <w:rPr>
                <w:sz w:val="19"/>
                <w:szCs w:val="19"/>
              </w:rPr>
              <w:t xml:space="preserve">pmd, validate</w:t>
            </w:r>
          </w:p>
        </w:tc>
        <w:tc>
          <w:tcPr>
            <w:tcW w:type="dxa" w:w="3660"/>
            <w:shd w:fill="F2F2F2" w:val="clear"/>
            <w:tcMar>
              <w:top w:type="dxa" w:w="80"/>
              <w:left w:type="dxa" w:w="100"/>
              <w:bottom w:type="dxa" w:w="80"/>
              <w:right w:type="dxa" w:w="100"/>
            </w:tcMar>
            <w:vAlign w:val="center"/>
          </w:tcPr>
          <w:p>
            <w:r>
              <w:rPr>
                <w:sz w:val="19"/>
                <w:szCs w:val="19"/>
              </w:rPr>
              <w:t xml:space="preserve">same as above</w:t>
            </w:r>
          </w:p>
        </w:tc>
      </w:tr>
      <w:tr>
        <w:tc>
          <w:tcPr>
            <w:tcW w:type="dxa" w:w="1300"/>
            <w:shd w:fill="FFFFFF" w:val="clear"/>
            <w:tcMar>
              <w:top w:type="dxa" w:w="80"/>
              <w:left w:type="dxa" w:w="100"/>
              <w:bottom w:type="dxa" w:w="80"/>
              <w:right w:type="dxa" w:w="100"/>
            </w:tcMar>
            <w:vAlign w:val="center"/>
          </w:tcPr>
          <w:p>
            <w:r>
              <w:rPr>
                <w:sz w:val="19"/>
                <w:szCs w:val="19"/>
              </w:rPr>
              <w:t xml:space="preserve">uat</w:t>
            </w:r>
          </w:p>
        </w:tc>
        <w:tc>
          <w:tcPr>
            <w:tcW w:type="dxa" w:w="1800"/>
            <w:shd w:fill="FFFFFF" w:val="clear"/>
            <w:tcMar>
              <w:top w:type="dxa" w:w="80"/>
              <w:left w:type="dxa" w:w="100"/>
              <w:bottom w:type="dxa" w:w="80"/>
              <w:right w:type="dxa" w:w="100"/>
            </w:tcMar>
            <w:vAlign w:val="center"/>
          </w:tcPr>
          <w:p>
            <w:r>
              <w:rPr>
                <w:sz w:val="19"/>
                <w:szCs w:val="19"/>
              </w:rPr>
              <w:t xml:space="preserve">1</w:t>
            </w:r>
          </w:p>
        </w:tc>
        <w:tc>
          <w:tcPr>
            <w:tcW w:type="dxa" w:w="2600"/>
            <w:shd w:fill="FFFFFF" w:val="clear"/>
            <w:tcMar>
              <w:top w:type="dxa" w:w="80"/>
              <w:left w:type="dxa" w:w="100"/>
              <w:bottom w:type="dxa" w:w="80"/>
              <w:right w:type="dxa" w:w="100"/>
            </w:tcMar>
            <w:vAlign w:val="center"/>
          </w:tcPr>
          <w:p>
            <w:r>
              <w:rPr>
                <w:sz w:val="19"/>
                <w:szCs w:val="19"/>
              </w:rPr>
              <w:t xml:space="preserve">pmd, validate</w:t>
            </w:r>
          </w:p>
        </w:tc>
        <w:tc>
          <w:tcPr>
            <w:tcW w:type="dxa" w:w="3660"/>
            <w:shd w:fill="FFFFFF" w:val="clear"/>
            <w:tcMar>
              <w:top w:type="dxa" w:w="80"/>
              <w:left w:type="dxa" w:w="100"/>
              <w:bottom w:type="dxa" w:w="80"/>
              <w:right w:type="dxa" w:w="100"/>
            </w:tcMar>
            <w:vAlign w:val="center"/>
          </w:tcPr>
          <w:p>
            <w:r>
              <w:rPr>
                <w:sz w:val="19"/>
                <w:szCs w:val="19"/>
              </w:rPr>
              <w:t xml:space="preserve">same as above</w:t>
            </w:r>
          </w:p>
        </w:tc>
      </w:tr>
      <w:tr>
        <w:tc>
          <w:tcPr>
            <w:tcW w:type="dxa" w:w="1300"/>
            <w:shd w:fill="F2F2F2" w:val="clear"/>
            <w:tcMar>
              <w:top w:type="dxa" w:w="80"/>
              <w:left w:type="dxa" w:w="100"/>
              <w:bottom w:type="dxa" w:w="80"/>
              <w:right w:type="dxa" w:w="100"/>
            </w:tcMar>
            <w:vAlign w:val="center"/>
          </w:tcPr>
          <w:p>
            <w:r>
              <w:rPr>
                <w:sz w:val="19"/>
                <w:szCs w:val="19"/>
              </w:rPr>
              <w:t xml:space="preserve">release</w:t>
            </w:r>
          </w:p>
        </w:tc>
        <w:tc>
          <w:tcPr>
            <w:tcW w:type="dxa" w:w="1800"/>
            <w:shd w:fill="F2F2F2" w:val="clear"/>
            <w:tcMar>
              <w:top w:type="dxa" w:w="80"/>
              <w:left w:type="dxa" w:w="100"/>
              <w:bottom w:type="dxa" w:w="80"/>
              <w:right w:type="dxa" w:w="100"/>
            </w:tcMar>
            <w:vAlign w:val="center"/>
          </w:tcPr>
          <w:p>
            <w:r>
              <w:rPr>
                <w:sz w:val="19"/>
                <w:szCs w:val="19"/>
              </w:rPr>
              <w:t xml:space="preserve">2</w:t>
            </w:r>
          </w:p>
        </w:tc>
        <w:tc>
          <w:tcPr>
            <w:tcW w:type="dxa" w:w="2600"/>
            <w:shd w:fill="F2F2F2" w:val="clear"/>
            <w:tcMar>
              <w:top w:type="dxa" w:w="80"/>
              <w:left w:type="dxa" w:w="100"/>
              <w:bottom w:type="dxa" w:w="80"/>
              <w:right w:type="dxa" w:w="100"/>
            </w:tcMar>
            <w:vAlign w:val="center"/>
          </w:tcPr>
          <w:p>
            <w:r>
              <w:rPr>
                <w:sz w:val="19"/>
                <w:szCs w:val="19"/>
              </w:rPr>
              <w:t xml:space="preserve">pmd, validate</w:t>
            </w:r>
          </w:p>
        </w:tc>
        <w:tc>
          <w:tcPr>
            <w:tcW w:type="dxa" w:w="3660"/>
            <w:shd w:fill="F2F2F2" w:val="clear"/>
            <w:tcMar>
              <w:top w:type="dxa" w:w="80"/>
              <w:left w:type="dxa" w:w="100"/>
              <w:bottom w:type="dxa" w:w="80"/>
              <w:right w:type="dxa" w:w="100"/>
            </w:tcMar>
            <w:vAlign w:val="center"/>
          </w:tcPr>
          <w:p>
            <w:r>
              <w:rPr>
                <w:sz w:val="19"/>
                <w:szCs w:val="19"/>
              </w:rPr>
              <w:t xml:space="preserve">same as above — higher approval count, closer to Production</w:t>
            </w:r>
          </w:p>
        </w:tc>
      </w:tr>
      <w:tr>
        <w:tc>
          <w:tcPr>
            <w:tcW w:type="dxa" w:w="1300"/>
            <w:shd w:fill="FFFFFF" w:val="clear"/>
            <w:tcMar>
              <w:top w:type="dxa" w:w="80"/>
              <w:left w:type="dxa" w:w="100"/>
              <w:bottom w:type="dxa" w:w="80"/>
              <w:right w:type="dxa" w:w="100"/>
            </w:tcMar>
            <w:vAlign w:val="center"/>
          </w:tcPr>
          <w:p>
            <w:r>
              <w:rPr>
                <w:sz w:val="19"/>
                <w:szCs w:val="19"/>
              </w:rPr>
              <w:t xml:space="preserve">master</w:t>
            </w:r>
          </w:p>
        </w:tc>
        <w:tc>
          <w:tcPr>
            <w:tcW w:type="dxa" w:w="1800"/>
            <w:shd w:fill="FFFFFF" w:val="clear"/>
            <w:tcMar>
              <w:top w:type="dxa" w:w="80"/>
              <w:left w:type="dxa" w:w="100"/>
              <w:bottom w:type="dxa" w:w="80"/>
              <w:right w:type="dxa" w:w="100"/>
            </w:tcMar>
            <w:vAlign w:val="center"/>
          </w:tcPr>
          <w:p>
            <w:r>
              <w:rPr>
                <w:sz w:val="19"/>
                <w:szCs w:val="19"/>
              </w:rPr>
              <w:t xml:space="preserve">2</w:t>
            </w:r>
          </w:p>
        </w:tc>
        <w:tc>
          <w:tcPr>
            <w:tcW w:type="dxa" w:w="2600"/>
            <w:shd w:fill="FFFFFF" w:val="clear"/>
            <w:tcMar>
              <w:top w:type="dxa" w:w="80"/>
              <w:left w:type="dxa" w:w="100"/>
              <w:bottom w:type="dxa" w:w="80"/>
              <w:right w:type="dxa" w:w="100"/>
            </w:tcMar>
            <w:vAlign w:val="center"/>
          </w:tcPr>
          <w:p>
            <w:r>
              <w:rPr>
                <w:sz w:val="19"/>
                <w:szCs w:val="19"/>
              </w:rPr>
              <w:t xml:space="preserve">pmd, validate</w:t>
            </w:r>
          </w:p>
        </w:tc>
        <w:tc>
          <w:tcPr>
            <w:tcW w:type="dxa" w:w="3660"/>
            <w:shd w:fill="FFFFFF" w:val="clear"/>
            <w:tcMar>
              <w:top w:type="dxa" w:w="80"/>
              <w:left w:type="dxa" w:w="100"/>
              <w:bottom w:type="dxa" w:w="80"/>
              <w:right w:type="dxa" w:w="100"/>
            </w:tcMar>
            <w:vAlign w:val="center"/>
          </w:tcPr>
          <w:p>
            <w:r>
              <w:rPr>
                <w:sz w:val="19"/>
                <w:szCs w:val="19"/>
              </w:rPr>
              <w:t xml:space="preserve">same as above</w:t>
            </w:r>
          </w:p>
        </w:tc>
      </w:tr>
    </w:tbl>
    <w:p>
      <w:pPr>
        <w:spacing w:after="160" w:line="276"/>
      </w:pPr>
      <w:r>
        <w:rPr>
          <w:sz w:val="21"/>
          <w:szCs w:val="21"/>
        </w:rPr>
        <w:t xml:space="preserve"/>
      </w:r>
    </w:p>
    <w:p>
      <w:pPr>
        <w:pStyle w:val="ListParagraph"/>
        <w:numPr>
          <w:ilvl w:val="0"/>
          <w:numId w:val="3"/>
        </w:numPr>
        <w:spacing w:after="80" w:line="264"/>
      </w:pPr>
      <w:r>
        <w:rPr>
          <w:b/>
          <w:bCs/>
          <w:sz w:val="21"/>
          <w:szCs w:val="21"/>
        </w:rPr>
        <w:t xml:space="preserve">dismiss_stale_reviews: </w:t>
      </w:r>
      <w:r>
        <w:rPr>
          <w:sz w:val="21"/>
          <w:szCs w:val="21"/>
        </w:rPr>
        <w:t xml:space="preserve">any new push to the PR invalidates existing approvals, forcing re-review.</w:t>
      </w:r>
    </w:p>
    <w:p>
      <w:pPr>
        <w:pStyle w:val="ListParagraph"/>
        <w:numPr>
          <w:ilvl w:val="0"/>
          <w:numId w:val="3"/>
        </w:numPr>
        <w:spacing w:after="80" w:line="264"/>
      </w:pPr>
      <w:r>
        <w:rPr>
          <w:b/>
          <w:bCs/>
          <w:sz w:val="21"/>
          <w:szCs w:val="21"/>
        </w:rPr>
        <w:t xml:space="preserve">require_last_push_approval: </w:t>
      </w:r>
      <w:r>
        <w:rPr>
          <w:sz w:val="21"/>
          <w:szCs w:val="21"/>
        </w:rPr>
        <w:t xml:space="preserve">the specific commit being merged must itself have been approved — not an earlier commit in the same PR. Combined with dismiss_stale_reviews, this guarantees the approved commit and the validated commit are always the same one.</w:t>
      </w:r>
    </w:p>
    <w:p>
      <w:pPr>
        <w:pStyle w:val="ListParagraph"/>
        <w:numPr>
          <w:ilvl w:val="0"/>
          <w:numId w:val="3"/>
        </w:numPr>
        <w:spacing w:after="80" w:line="264"/>
      </w:pPr>
      <w:r>
        <w:rPr>
          <w:b/>
          <w:bCs/>
          <w:sz w:val="21"/>
          <w:szCs w:val="21"/>
        </w:rPr>
        <w:t xml:space="preserve">enforce_admins: false </w:t>
      </w:r>
      <w:r>
        <w:rPr>
          <w:sz w:val="21"/>
          <w:szCs w:val="21"/>
        </w:rPr>
        <w:t xml:space="preserve">on all branches — deliberate, so the repository admin can push CI/config fixes directly when needed (used several times while building this pipeline). Day-to-day feature work should still go through pull requests.</w:t>
      </w:r>
    </w:p>
    <w:p>
      <w:pPr>
        <w:spacing w:after="160" w:line="276"/>
      </w:pPr>
      <w:r>
        <w:rPr>
          <w:sz w:val="21"/>
          <w:szCs w:val="21"/>
        </w:rPr>
        <w:t xml:space="preserve"/>
      </w:r>
    </w:p>
    <w:p>
      <w:pPr>
        <w:spacing w:after="160" w:line="276"/>
      </w:pPr>
      <w:r>
        <w:rPr>
          <w:sz w:val="21"/>
          <w:szCs w:val="21"/>
        </w:rPr>
        <w:t xml:space="preserve">Verified live: a test PR into dev with both required checks passing (green) still showed mergeStateStatus: BLOCKED and reviewDecision: REVIEW_REQUIRED — confirming that a passing validation alone does not unlock merge, and neither does approval alone; both are required together.</w:t>
      </w:r>
    </w:p>
    <w:p>
      <w:pPr>
        <w:pStyle w:val="Heading2"/>
        <w:spacing w:after="160" w:before="360"/>
      </w:pPr>
      <w:r>
        <w:rPr>
          <w:b/>
          <w:bCs/>
          <w:color w:val="1F3864"/>
          <w:sz w:val="26"/>
          <w:szCs w:val="26"/>
        </w:rPr>
        <w:t xml:space="preserve">6.5 Default Branch</w:t>
      </w:r>
    </w:p>
    <w:p>
      <w:pPr>
        <w:spacing w:after="160" w:line="276"/>
      </w:pPr>
      <w:r>
        <w:rPr>
          <w:sz w:val="21"/>
          <w:szCs w:val="21"/>
        </w:rPr>
        <w:t xml:space="preserve">The repository's default branch was changed from main to master, matching the branching strategy's naming (master as the ultimate trunk after release). main remains in the repository as the pre-multi-environment baseline; OrgSource and OrgDestination remain as the original proof-of-concept branches, kept for reference at the team's request rather than deleted.</w:t>
      </w:r>
    </w:p>
    <w:p>
      <w:r>
        <w:br w:type="page"/>
      </w:r>
    </w:p>
    <w:p>
      <w:pPr>
        <w:pStyle w:val="Heading1"/>
        <w:pBdr>
          <w:bottom w:val="single" w:color="2E5AAC" w:sz="8" w:space="4"/>
        </w:pBdr>
        <w:spacing w:after="240" w:before="480"/>
      </w:pPr>
      <w:r>
        <w:rPr>
          <w:b/>
          <w:bCs/>
          <w:color w:val="1F3864"/>
          <w:sz w:val="32"/>
          <w:szCs w:val="32"/>
        </w:rPr>
        <w:t xml:space="preserve">7. GitHub Actions Workflows — Detailed Walkthrough</w:t>
      </w:r>
    </w:p>
    <w:p>
      <w:pPr>
        <w:spacing w:after="160" w:line="276"/>
      </w:pPr>
      <w:r>
        <w:rPr>
          <w:sz w:val="21"/>
          <w:szCs w:val="21"/>
        </w:rPr>
        <w:t xml:space="preserve">Three workflow files implement the pipeline, all under .github/workflows/. This section explains what each one does and why; the full, current YAML for each is reproduced in full immediately below its explanation so this document stays a complete, standalone reference.</w:t>
      </w:r>
    </w:p>
    <w:p>
      <w:pPr>
        <w:pStyle w:val="Heading2"/>
        <w:spacing w:after="160" w:before="360"/>
      </w:pPr>
      <w:r>
        <w:rPr>
          <w:b/>
          <w:bCs/>
          <w:color w:val="1F3864"/>
          <w:sz w:val="26"/>
          <w:szCs w:val="26"/>
        </w:rPr>
        <w:t xml:space="preserve">7.1 pmd-analysis.yml — Static Analysis Gate</w:t>
      </w:r>
    </w:p>
    <w:p>
      <w:pPr>
        <w:spacing w:after="160" w:line="276"/>
      </w:pPr>
      <w:r>
        <w:rPr>
          <w:sz w:val="21"/>
          <w:szCs w:val="21"/>
        </w:rPr>
        <w:t xml:space="preserve">Runs PMD (a static analysis tool for Apex) against every pull request targeting any of the five active branches. It only analyzes files actually changed in the PR (analyzeModifiedFilesOnly), and posts violations as inline GitHub annotations directly on the diff.</w:t>
      </w:r>
    </w:p>
    <w:p>
      <w:pPr>
        <w:spacing w:after="160" w:line="276"/>
      </w:pPr>
      <w:r>
        <w:rPr>
          <w:sz w:val="21"/>
          <w:szCs w:val="21"/>
        </w:rPr>
        <w:t xml:space="preserve">The ruleset used (config/ruleset.xml) currently enforces three Apex rules:</w:t>
      </w:r>
    </w:p>
    <w:p>
      <w:pPr>
        <w:pStyle w:val="ListParagraph"/>
        <w:numPr>
          <w:ilvl w:val="0"/>
          <w:numId w:val="3"/>
        </w:numPr>
        <w:spacing w:after="80" w:line="264"/>
      </w:pPr>
      <w:r>
        <w:rPr>
          <w:sz w:val="21"/>
          <w:szCs w:val="21"/>
        </w:rPr>
        <w:t xml:space="preserve">ApexUnitTestClassShouldHaveAsserts — a test class with no assertions provides false confidence</w:t>
      </w:r>
    </w:p>
    <w:p>
      <w:pPr>
        <w:pStyle w:val="ListParagraph"/>
        <w:numPr>
          <w:ilvl w:val="0"/>
          <w:numId w:val="3"/>
        </w:numPr>
        <w:spacing w:after="80" w:line="264"/>
      </w:pPr>
      <w:r>
        <w:rPr>
          <w:sz w:val="21"/>
          <w:szCs w:val="21"/>
        </w:rPr>
        <w:t xml:space="preserve">AvoidDirectAccessTriggerMap — guards against unsafe direct access to trigger context maps</w:t>
      </w:r>
    </w:p>
    <w:p>
      <w:pPr>
        <w:pStyle w:val="ListParagraph"/>
        <w:numPr>
          <w:ilvl w:val="0"/>
          <w:numId w:val="3"/>
        </w:numPr>
        <w:spacing w:after="80" w:line="264"/>
      </w:pPr>
      <w:r>
        <w:rPr>
          <w:sz w:val="21"/>
          <w:szCs w:val="21"/>
        </w:rPr>
        <w:t xml:space="preserve">ApexSharingViolations — flags sharing/security-model violations</w:t>
      </w:r>
    </w:p>
    <w:p>
      <w:pPr>
        <w:spacing w:after="160" w:line="276"/>
      </w:pPr>
      <w:r>
        <w:rPr>
          <w:sz w:val="21"/>
          <w:szCs w:val="21"/>
        </w:rPr>
        <w:t xml:space="preserve">This ruleset is intentionally small to start; more rules can be added to config/ruleset.xml over time as the team agrees on standards (e.g. complexity limits, naming conventions, SOQL-in-loop detection).</w:t>
      </w:r>
    </w:p>
    <w:p>
      <w:pPr>
        <w:pStyle w:val="Heading3"/>
        <w:spacing w:after="120" w:before="240"/>
      </w:pPr>
      <w:r>
        <w:rPr>
          <w:b/>
          <w:bCs/>
          <w:color w:val="2E5AAC"/>
          <w:sz w:val="22"/>
          <w:szCs w:val="22"/>
        </w:rPr>
        <w:t xml:space="preserve">Full listing: .github/workflows/pmd-analysis.yml</w:t>
      </w:r>
    </w:p>
    <w:p>
      <w:pPr>
        <w:spacing w:after="0"/>
      </w:pPr>
    </w:p>
    <w:p>
      <w:pPr>
        <w:pBdr>
          <w:left w:val="single" w:color="BFBFBF" w:sz="12"/>
        </w:pBdr>
        <w:shd w:fill="F5F5F5" w:val="clear"/>
        <w:spacing w:after="0" w:line="240"/>
        <w:ind w:left="120"/>
      </w:pPr>
      <w:r>
        <w:rPr>
          <w:rFonts w:ascii="Consolas" w:cs="Consolas" w:eastAsia="Consolas" w:hAnsi="Consolas"/>
          <w:color w:val="1A1A1A"/>
          <w:sz w:val="15"/>
          <w:szCs w:val="15"/>
        </w:rPr>
        <w:t xml:space="preserve">name: PMD Check</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on: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pull_request: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branches: [ dev, qa, uat, release, master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permissions: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contents: read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jobs: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pmd: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runs-on: ubuntu-latest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permissions: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contents: read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checks: write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steps: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uses: actions/checkout@11d5960a326750d5838078e36cf38b85af677262 # v4.2.2</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with:</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persist-credentials: false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Run PMD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uses: pmd/pmd-github-action@d9c1f3c5940cbf5923f1354e83fa858b4496ebaa # v2.0.0</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with:</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rulesets: 'config/ruleset.xml'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sourcePath: 'force-app/main/default'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version: latest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analyzeModifiedFilesOnly: true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createGitHubAnnotations: true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uploadSarifReport: false</w:t>
      </w:r>
    </w:p>
    <w:p>
      <w:pPr>
        <w:spacing w:after="160"/>
      </w:pPr>
    </w:p>
    <w:p>
      <w:pPr>
        <w:pStyle w:val="Heading3"/>
        <w:spacing w:after="120" w:before="240"/>
      </w:pPr>
      <w:r>
        <w:rPr>
          <w:b/>
          <w:bCs/>
          <w:color w:val="2E5AAC"/>
          <w:sz w:val="22"/>
          <w:szCs w:val="22"/>
        </w:rPr>
        <w:t xml:space="preserve">Full listing: config/ruleset.xml</w:t>
      </w:r>
    </w:p>
    <w:p>
      <w:pPr>
        <w:spacing w:after="0"/>
      </w:pPr>
    </w:p>
    <w:p>
      <w:pPr>
        <w:pBdr>
          <w:left w:val="single" w:color="BFBFBF" w:sz="12"/>
        </w:pBdr>
        <w:shd w:fill="F5F5F5" w:val="clear"/>
        <w:spacing w:after="0" w:line="240"/>
        <w:ind w:left="120"/>
      </w:pPr>
      <w:r>
        <w:rPr>
          <w:rFonts w:ascii="Consolas" w:cs="Consolas" w:eastAsia="Consolas" w:hAnsi="Consolas"/>
          <w:color w:val="1A1A1A"/>
          <w:sz w:val="15"/>
          <w:szCs w:val="15"/>
        </w:rPr>
        <w:t xml:space="preserve">&lt;?xml version="1.0"?&gt;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&lt;ruleset name="Apex Rules"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xmlns="http://pmd.sourceforge.net/ruleset/2.0.0"</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xmlns:xsi="http://www.w3.org/2001/XMLSchema-instance"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xsi:schemaLocation="http://pmd.sourceforge.net/ruleset/2.0.0 http://pmd.sourceforge.net/ruleset_2_0_0.xsd"&gt;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&lt;description&gt;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Custom ruleset for Apex.</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&lt;/description&gt;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&lt;rule ref="category/apex/bestpractices.xml/ApexUnitTestClassShouldHaveAsserts" /&gt;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&lt;rule ref="category/apex/errorprone.xml/AvoidDirectAccessTriggerMap" /&gt;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&lt;rule ref="category/apex/security.xml/ApexSharingViolations" /&gt;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&lt;/ruleset&gt;</w:t>
      </w:r>
    </w:p>
    <w:p>
      <w:pPr>
        <w:spacing w:after="160"/>
      </w:pPr>
    </w:p>
    <w:p>
      <w:r>
        <w:br w:type="page"/>
      </w:r>
    </w:p>
    <w:p>
      <w:pPr>
        <w:pStyle w:val="Heading2"/>
        <w:spacing w:after="160" w:before="360"/>
      </w:pPr>
      <w:r>
        <w:rPr>
          <w:b/>
          <w:bCs/>
          <w:color w:val="1F3864"/>
          <w:sz w:val="26"/>
          <w:szCs w:val="26"/>
        </w:rPr>
        <w:t xml:space="preserve">7.2 pr-validate.yml — Pull Request Merge Gate</w:t>
      </w:r>
    </w:p>
    <w:p>
      <w:pPr>
        <w:spacing w:after="160" w:line="276"/>
      </w:pPr>
      <w:r>
        <w:rPr>
          <w:sz w:val="21"/>
          <w:szCs w:val="21"/>
        </w:rPr>
        <w:t xml:space="preserve">This is the workflow that makes “validation happens before merge” an enforced fact rather than a hope. It runs on every pull request into dev, qa, uat, release, or master, and only when the change actually touches force-app/** or manifest/**.</w:t>
      </w:r>
    </w:p>
    <w:p>
      <w:pPr>
        <w:pStyle w:val="Heading3"/>
        <w:spacing w:after="120" w:before="240"/>
      </w:pPr>
      <w:r>
        <w:rPr>
          <w:b/>
          <w:bCs/>
          <w:color w:val="2E5AAC"/>
          <w:sz w:val="22"/>
          <w:szCs w:val="22"/>
        </w:rPr>
        <w:t xml:space="preserve">Step-by-step</w:t>
      </w:r>
    </w:p>
    <w:p>
      <w:pPr>
        <w:pStyle w:val="ListParagraph"/>
        <w:numPr>
          <w:ilvl w:val="0"/>
          <w:numId w:val="2"/>
        </w:numPr>
        <w:spacing w:after="80" w:line="264"/>
      </w:pPr>
      <w:r>
        <w:rPr>
          <w:sz w:val="21"/>
          <w:szCs w:val="21"/>
        </w:rPr>
        <w:t xml:space="preserve">determine-environment job — maps the PR's target branch (github.base_ref) to a Salesforce environment name (dev/qa/uat/production/production). This runs first and independently so its output can be used to select the right GitHub Environment for the next job.</w:t>
      </w:r>
    </w:p>
    <w:p>
      <w:pPr>
        <w:pStyle w:val="ListParagraph"/>
        <w:numPr>
          <w:ilvl w:val="0"/>
          <w:numId w:val="2"/>
        </w:numPr>
        <w:spacing w:after="80" w:line="264"/>
      </w:pPr>
      <w:r>
        <w:rPr>
          <w:sz w:val="21"/>
          <w:szCs w:val="21"/>
        </w:rPr>
        <w:t xml:space="preserve">validate job — declares environment: &lt;the value above&gt;, which makes GitHub automatically inject that environment's own secrets and apply any protection rules (e.g. required reviewers) configured on it.</w:t>
      </w:r>
    </w:p>
    <w:p>
      <w:pPr>
        <w:pStyle w:val="ListParagraph"/>
        <w:numPr>
          <w:ilvl w:val="0"/>
          <w:numId w:val="2"/>
        </w:numPr>
        <w:spacing w:after="80" w:line="264"/>
      </w:pPr>
      <w:r>
        <w:rPr>
          <w:sz w:val="21"/>
          <w:szCs w:val="21"/>
        </w:rPr>
        <w:t xml:space="preserve">Checkout, Node 22 setup, and Salesforce CLI + sfdx-git-delta plugin install, all pinned to specific versions (Section 8 explains why).</w:t>
      </w:r>
    </w:p>
    <w:p>
      <w:pPr>
        <w:pStyle w:val="ListParagraph"/>
        <w:numPr>
          <w:ilvl w:val="0"/>
          <w:numId w:val="2"/>
        </w:numPr>
        <w:spacing w:after="80" w:line="264"/>
      </w:pPr>
      <w:r>
        <w:rPr>
          <w:sz w:val="21"/>
          <w:szCs w:val="21"/>
        </w:rPr>
        <w:t xml:space="preserve">The JWT private key is written to a runner-local temp file with restrictive permissions (umask 077), never to a repo file or a log.</w:t>
      </w:r>
    </w:p>
    <w:p>
      <w:pPr>
        <w:pStyle w:val="ListParagraph"/>
        <w:numPr>
          <w:ilvl w:val="0"/>
          <w:numId w:val="2"/>
        </w:numPr>
        <w:spacing w:after="80" w:line="264"/>
      </w:pPr>
      <w:r>
        <w:rPr>
          <w:sz w:val="21"/>
          <w:szCs w:val="21"/>
        </w:rPr>
        <w:t xml:space="preserve">sf org login jwt authenticates non-interactively using the Connected App's client ID, the key file, the org username, and the instance URL — all from secrets.</w:t>
      </w:r>
    </w:p>
    <w:p>
      <w:pPr>
        <w:pStyle w:val="ListParagraph"/>
        <w:numPr>
          <w:ilvl w:val="0"/>
          <w:numId w:val="2"/>
        </w:numPr>
        <w:spacing w:after="80" w:line="264"/>
      </w:pPr>
      <w:r>
        <w:rPr>
          <w:sz w:val="21"/>
          <w:szCs w:val="21"/>
        </w:rPr>
        <w:t xml:space="preserve">An identity check confirms which org was actually authenticated to, and (optionally, if the environment defines SF_EXPECTED_ORG_ID) fails loudly if it doesn't match what's expected — catching a secrets mix-up before anything is validated against the wrong org.</w:t>
      </w:r>
    </w:p>
    <w:p>
      <w:pPr>
        <w:pStyle w:val="ListParagraph"/>
        <w:numPr>
          <w:ilvl w:val="0"/>
          <w:numId w:val="2"/>
        </w:numPr>
        <w:spacing w:after="80" w:line="264"/>
      </w:pPr>
      <w:r>
        <w:rPr>
          <w:sz w:val="21"/>
          <w:szCs w:val="21"/>
        </w:rPr>
        <w:t xml:space="preserve">sfdx-git-delta computes a package.xml containing only the metadata that differs between the PR's head commit and its target branch — so validation only checks what actually changed, not the whole org.</w:t>
      </w:r>
    </w:p>
    <w:p>
      <w:pPr>
        <w:pStyle w:val="ListParagraph"/>
        <w:numPr>
          <w:ilvl w:val="0"/>
          <w:numId w:val="2"/>
        </w:numPr>
        <w:spacing w:after="80" w:line="264"/>
      </w:pPr>
      <w:r>
        <w:rPr>
          <w:sz w:val="21"/>
          <w:szCs w:val="21"/>
        </w:rPr>
        <w:t xml:space="preserve">If the delta is empty (no &lt;members&gt; in the generated package.xml), validation is skipped entirely — there's nothing to check.</w:t>
      </w:r>
    </w:p>
    <w:p>
      <w:pPr>
        <w:pStyle w:val="ListParagraph"/>
        <w:numPr>
          <w:ilvl w:val="0"/>
          <w:numId w:val="2"/>
        </w:numPr>
        <w:spacing w:after="80" w:line="264"/>
      </w:pPr>
      <w:r>
        <w:rPr>
          <w:sz w:val="21"/>
          <w:szCs w:val="21"/>
        </w:rPr>
        <w:t xml:space="preserve">sf project deploy validate runs a server-side dry run of the delta against the target org, at test level RunLocalTests (see Section 6.2 for why this is fixed regardless of environment). Nothing is deployed by this command; it only reports whether a real deploy would succeed.</w:t>
      </w:r>
    </w:p>
    <w:p>
      <w:pPr>
        <w:pStyle w:val="ListParagraph"/>
        <w:numPr>
          <w:ilvl w:val="0"/>
          <w:numId w:val="2"/>
        </w:numPr>
        <w:spacing w:after="80" w:line="264"/>
      </w:pPr>
      <w:r>
        <w:rPr>
          <w:sz w:val="21"/>
          <w:szCs w:val="21"/>
        </w:rPr>
        <w:t xml:space="preserve">Finally, the Salesforce session is revoked (sf org logout) and the key file deleted, unconditionally (if: always()), so no credential material outlives the job.</w:t>
      </w:r>
    </w:p>
    <w:p>
      <w:pPr>
        <w:pStyle w:val="Heading3"/>
        <w:spacing w:after="120" w:before="240"/>
      </w:pPr>
      <w:r>
        <w:rPr>
          <w:b/>
          <w:bCs/>
          <w:color w:val="2E5AAC"/>
          <w:sz w:val="22"/>
          <w:szCs w:val="22"/>
        </w:rPr>
        <w:t xml:space="preserve">Full listing: .github/workflows/pr-validate.yml</w:t>
      </w:r>
    </w:p>
    <w:p>
      <w:pPr>
        <w:spacing w:after="0"/>
      </w:pPr>
    </w:p>
    <w:p>
      <w:pPr>
        <w:pBdr>
          <w:left w:val="single" w:color="BFBFBF" w:sz="12"/>
        </w:pBdr>
        <w:shd w:fill="F5F5F5" w:val="clear"/>
        <w:spacing w:after="0" w:line="240"/>
        <w:ind w:left="120"/>
      </w:pPr>
      <w:r>
        <w:rPr>
          <w:rFonts w:ascii="Consolas" w:cs="Consolas" w:eastAsia="Consolas" w:hAnsi="Consolas"/>
          <w:color w:val="1A1A1A"/>
          <w:sz w:val="15"/>
          <w:szCs w:val="15"/>
        </w:rPr>
        <w:t xml:space="preserve">name: Validate Deployment (PR gate)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Runs as the merge gate for every promotion PR in the pipeline: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feature/* -&gt; dev -&gt; qa -&gt; uat -&gt; release -&gt; master</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Each target branch maps to one Salesforce environment/org. This workflow</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never deploys - it only runs `sf project deploy validate` (a server-side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dry run) so a bad PR is caught before merge, with zero risk to the org.</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on: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pull_request: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branches: [ dev, qa, uat, release, master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paths: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'force-app/**'</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'manifest/**'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Least-privilege default: this workflow only reads the repo and calls out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to Salesforce; it never needs to write back to GitHub.</w:t>
      </w:r>
    </w:p>
    <w:p>
      <w:pPr>
        <w:pBdr>
          <w:left w:val="single" w:color="BFBFBF" w:sz="12"/>
        </w:pBdr>
        <w:shd w:fill="F5F5F5" w:val="clear"/>
        <w:spacing w:after="0" w:line="240"/>
        <w:ind w:left="120"/>
      </w:pPr>
      <w:r>
        <w:rPr>
          <w:rFonts w:ascii="Consolas" w:cs="Consolas" w:eastAsia="Consolas" w:hAnsi="Consolas"/>
          <w:color w:val="1A1A1A"/>
          <w:sz w:val="15"/>
          <w:szCs w:val="15"/>
        </w:rPr>
        <w:t xml:space="preserve">permissions: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contents: read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Superseding stale runs on new pushes to the same PR avoids wasting a</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validate slot against the org and avoids two runs racing for the same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environment.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concurrency:</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group: pr-validate-${{ github.event.pull_request.number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cancel-in-progress: true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env:</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SF_USE_GENERIC_UNIX_KEYCHAIN: true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SF_DOMAIN_RETRY: 300</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GitHub-hosted runners prefer IPv6 DNS resolution, which can hang/fail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when calling Salesforce's API endpoints via Node's fetch. Force IPv4.</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NODE_OPTIONS: --dns-result-order=ipv4first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SF_DISABLE_APP_HUB: true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SF_LOG_LEVEL: WARN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jobs: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Resolves which Salesforce environment (and therefore which GitHub</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Environment / secret set) this PR's target branch corresponds to.</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Keeping this as its own job means the mapping is defined once, and the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`validate` job's `environment:` can be set dynamically from its output.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determine-environment: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runs-on: ubuntu-latest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outputs: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environment: ${{ steps.map.outputs.environment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steps: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Map target branch to Salesforce environment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id: map</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set -euo pipefail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case "${{ github.base_ref }}" in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dev)     ENVIRONMENT="dev"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qa)      ENVIRONMENT="qa"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uat)     ENVIRONMENT="uat"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release) ENVIRONMENT="production"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master)  ENVIRONMENT="production"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"::error::No environment mapping defined for base branch '${{ github.base_ref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exit 1</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esac</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"environment=$ENVIRONMENT" &gt;&gt; "$GITHUB_OUTPUT"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"PR into '${{ github.base_ref }}' -&gt; validating against the '$ENVIRONMENT' org"</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validate: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needs: determine-environment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Selecting the GitHub Environment here means this job automatically</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picks up that environment's own SF_CLIENT_ID / SF_USERNAME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SF_INSTANCE_URL / SF_JWT_KEY secrets (same names, different values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per environment) and any protection rules configured on it (e.g.</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required reviewers before touching the production/UAT org).</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environment: ${{ needs.determine-environment.outputs.environment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runs-on: ubuntu-latest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steps: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Checkout source code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uses: actions/checkout@11d5960a326750d5838078e36cf38b85af677262 # v4.2.2</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with:</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fetch-depth: 0</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We only ever read the checkout; don't leave a push-capable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git credential lying around on the runner.</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persist-credentials: false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Setup Node.js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uses: actions/setup-node@49933ea5288caeca8642d1e84afbd3f7d6820020 # v4.4.0</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with:</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node-version: '22'</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Install Salesforce CLI</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set -euo pipefail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Pinned deliberately: silent auto-upgrades of the CLI are a</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supply-chain risk and have broken this pipeline before (flag</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renames between versions). Bump intentionally, via PR review.</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npm install -g @salesforce/cli@2.146.3</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sf --version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Install SFDX Git Delta plugin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set -euo pipefail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y | sf plugins install sfdx-git-delta@6.45.1</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Write JWT key to a restricted temp file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set -euo pipefail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umask 077</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printf '%s' "${{ secrets.SF_JWT_KEY }}" &gt; "$RUNNER_TEMP/jwt-key.txt"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Authenticate to Salesforce (JWT bearer flow)</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set -euo pipefail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sf org login jwt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--client-id "${{ secrets.SF_CLIENT_ID }}"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--jwt-key-file "$RUNNER_TEMP/jwt-key.txt"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--username "${{ secrets.SF_USERNAME }}"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--instance-url "${{ secrets.SF_INSTANCE_URL }}"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--alias target-org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--set-default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Verify authentication and target org identity</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set -euo pipefail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ORG_INFO=$(sf org display --target-org target-org --json)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ORG_ID=$(echo "$ORG_INFO" | jq -r '.result.id')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"Authenticated to org: $ORG_ID"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Optional guardrail: if an environment defines SF_EXPECTED_ORG_ID,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refuse to continue on a mismatch. This catches the scenario</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where a secret was pasted into the wrong GitHub Environment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(e.g. UAT credentials saved under Production) before anything</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gets validated against the wrong org.</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if [ -n "${{ secrets.SF_EXPECTED_ORG_ID }}" ] &amp;&amp; [ "$ORG_ID" != "${{ secrets.SF_EXPECTED_ORG_ID }}" ]; then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"::error::Authenticated org ($ORG_ID) does not match SF_EXPECTED_ORG_ID configured for the '${{ needs.determine-environment.outputs.environment }}' environment. Refusing to continue - check for a secrets misconfiguration."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exit 1</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fi</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Generate delta package (PR head vs. target branch)</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set -euo pipefail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BASE_BRANCH="${{ github.event.pull_request.base.ref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HEAD_SHA="${{ github.event.pull_request.head.sha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"Generating delta package between origin/$BASE_BRANCH and $HEAD_SHA"</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mkdir -p delta</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sf sgd:source:delta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--to "$HEAD_SHA"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--from "origin/$BASE_BRANCH"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--output-dir delta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--generate-delta</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"Generated package.xml:"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cat delta/package/package.xml 2&gt;/dev/null || echo "No package.xml generated"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A delta with no &lt;members&gt; (e.g. only comments/formatting changed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in a way git-delta ignores) still produces a well-formed but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empty package.xml. Deploying/validating an empty package fails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against the Salesforce API, so treat it as "nothing to do".</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if [ ! -f "delta/package/package.xml" ] || ! grep -q "&lt;members&gt;" delta/package/package.xml; then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"No metadata changes detected - nothing to validate"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"SKIP_VALIDATION=true" &gt;&gt; "$GITHUB_ENV"</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else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"SKIP_VALIDATION=false" &gt;&gt; "$GITHUB_ENV"</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fi</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Validate deployment (dry run, no deploy)</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if: env.SKIP_VALIDATION == 'false'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set -euo pipefail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"Validating against '${{ needs.determine-environment.outputs.environment }}' (merge gate only - nothing is deployed)"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Every environment runs RunLocalTests here, not just uat/production: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`sf project deploy validate` (checkOnly) rejects NoTestRun outright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("Expected --test-level=NoTestRun to be one of: RunAllTestsInOrg,</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RunLocalTests, RunSpecifiedTests, RunRelevantTests") - Salesforce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doesn't consider a dry-run deployment with zero tests meaningful.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dev/qa skip tests on the real deploy instead (see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deploy-destination.yml), which is where NoTestRun is actually valid.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if ! VALIDATION_RESULT=$(sf project deploy validate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--manifest delta/package/package.xml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--target-org target-org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--test-level RunLocalTests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--wait 30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--json); then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"$VALIDATION_RESULT" | jq . 2&gt;/dev/null || echo "$VALIDATION_RESULT"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"::error::Validation failed against '${{ needs.determine-environment.outputs.environment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exit 1</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fi</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"$VALIDATION_RESULT" | jq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Revoke Salesforce session and remove key material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if: always()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sf org logout --target-org target-org --no-prompt || true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rm -f "$RUNNER_TEMP/jwt-key.txt"</w:t>
      </w:r>
    </w:p>
    <w:p>
      <w:pPr>
        <w:spacing w:after="160"/>
      </w:pPr>
    </w:p>
    <w:p>
      <w:r>
        <w:br w:type="page"/>
      </w:r>
    </w:p>
    <w:p>
      <w:pPr>
        <w:pStyle w:val="Heading2"/>
        <w:spacing w:after="160" w:before="360"/>
      </w:pPr>
      <w:r>
        <w:rPr>
          <w:b/>
          <w:bCs/>
          <w:color w:val="1F3864"/>
          <w:sz w:val="26"/>
          <w:szCs w:val="26"/>
        </w:rPr>
        <w:t xml:space="preserve">7.3 deploy-destination.yml — Real Deployment</w:t>
      </w:r>
    </w:p>
    <w:p>
      <w:pPr>
        <w:spacing w:after="160" w:line="276"/>
      </w:pPr>
      <w:r>
        <w:rPr>
          <w:sz w:val="21"/>
          <w:szCs w:val="21"/>
        </w:rPr>
        <w:t xml:space="preserve">Runs on push to dev, qa, uat, or release (never master — see Section 6.1.2), and can also be triggered manually via workflow_dispatch for a one-off redeploy, optionally against a chosen environment and a specific from_ref commit to diff against.</w:t>
      </w:r>
    </w:p>
    <w:p>
      <w:pPr>
        <w:pStyle w:val="Heading3"/>
        <w:spacing w:after="120" w:before="240"/>
      </w:pPr>
      <w:r>
        <w:rPr>
          <w:b/>
          <w:bCs/>
          <w:color w:val="2E5AAC"/>
          <w:sz w:val="22"/>
          <w:szCs w:val="22"/>
        </w:rPr>
        <w:t xml:space="preserve">Step-by-step</w:t>
      </w:r>
    </w:p>
    <w:p>
      <w:pPr>
        <w:pStyle w:val="ListParagraph"/>
        <w:numPr>
          <w:ilvl w:val="0"/>
          <w:numId w:val="2"/>
        </w:numPr>
        <w:spacing w:after="80" w:line="264"/>
      </w:pPr>
      <w:r>
        <w:rPr>
          <w:sz w:val="21"/>
          <w:szCs w:val="21"/>
        </w:rPr>
        <w:t xml:space="preserve">determine-environment — same branch-to-environment mapping as the validate workflow, plus a test_level output: NoTestRun for dev/qa, RunLocalTests for uat/production.</w:t>
      </w:r>
    </w:p>
    <w:p>
      <w:pPr>
        <w:pStyle w:val="ListParagraph"/>
        <w:numPr>
          <w:ilvl w:val="0"/>
          <w:numId w:val="2"/>
        </w:numPr>
        <w:spacing w:after="80" w:line="264"/>
      </w:pPr>
      <w:r>
        <w:rPr>
          <w:sz w:val="21"/>
          <w:szCs w:val="21"/>
        </w:rPr>
        <w:t xml:space="preserve">The deploy job sets environment: &lt;the resolved value&gt;, and additionally sets a per-environment concurrency group (deploy-&lt;environment&gt;) with cancel-in-progress: false — deploys to the same org queue behind each other and are never cancelled mid-flight, which would risk leaving a deploy half-applied.</w:t>
      </w:r>
    </w:p>
    <w:p>
      <w:pPr>
        <w:pStyle w:val="ListParagraph"/>
        <w:numPr>
          <w:ilvl w:val="0"/>
          <w:numId w:val="2"/>
        </w:numPr>
        <w:spacing w:after="80" w:line="264"/>
      </w:pPr>
      <w:r>
        <w:rPr>
          <w:sz w:val="21"/>
          <w:szCs w:val="21"/>
        </w:rPr>
        <w:t xml:space="preserve">Authentication and identity verification are identical to the validate workflow (steps 4–6 above).</w:t>
      </w:r>
    </w:p>
    <w:p>
      <w:pPr>
        <w:pStyle w:val="ListParagraph"/>
        <w:numPr>
          <w:ilvl w:val="0"/>
          <w:numId w:val="2"/>
        </w:numPr>
        <w:spacing w:after="80" w:line="264"/>
      </w:pPr>
      <w:r>
        <w:rPr>
          <w:sz w:val="21"/>
          <w:szCs w:val="21"/>
        </w:rPr>
        <w:t xml:space="preserve">The delta package is generated the same way as the validate workflow, but diffing against the previous commit on the branch (or an explicit from_ref for a manual run) instead of a PR's base branch.</w:t>
      </w:r>
    </w:p>
    <w:p>
      <w:pPr>
        <w:pStyle w:val="ListParagraph"/>
        <w:numPr>
          <w:ilvl w:val="0"/>
          <w:numId w:val="2"/>
        </w:numPr>
        <w:spacing w:after="80" w:line="264"/>
      </w:pPr>
      <w:r>
        <w:rPr>
          <w:sz w:val="21"/>
          <w:szCs w:val="21"/>
        </w:rPr>
        <w:t xml:space="default"/>
      </w:r>
    </w:p>
    <w:p>
      <w:pPr>
        <w:pStyle w:val="ListParagraph"/>
        <w:numPr>
          <w:ilvl w:val="0"/>
          <w:numId w:val="2"/>
        </w:numPr>
        <w:spacing w:after="80" w:line="264"/>
      </w:pPr>
      <w:r>
        <w:rPr>
          <w:sz w:val="21"/>
          <w:szCs w:val="21"/>
        </w:rPr>
        <w:t xml:space="default"/>
      </w:r>
    </w:p>
    <w:p>
      <w:pPr>
        <w:pStyle w:val="ListParagraph"/>
        <w:numPr>
          <w:ilvl w:val="0"/>
          <w:numId w:val="2"/>
        </w:numPr>
        <w:spacing w:after="80" w:line="264"/>
      </w:pPr>
      <w:r>
        <w:rPr>
          <w:sz w:val="21"/>
          <w:szCs w:val="21"/>
        </w:rPr>
        <w:t xml:space="preserve">A deployment summary (environment, test level, branch, commit, deploy/validation ID) is written to the GitHub Actions job summary for auditability, regardless of success or failure.</w:t>
      </w:r>
    </w:p>
    <w:p>
      <w:pPr>
        <w:pStyle w:val="ListParagraph"/>
        <w:numPr>
          <w:ilvl w:val="0"/>
          <w:numId w:val="2"/>
        </w:numPr>
        <w:spacing w:after="80" w:line="264"/>
      </w:pPr>
      <w:r>
        <w:rPr>
          <w:sz w:val="21"/>
          <w:szCs w:val="21"/>
        </w:rPr>
        <w:t xml:space="preserve">As with the validate workflow, the Salesforce session and key file are always cleaned up at the end.</w:t>
      </w:r>
    </w:p>
    <w:p>
      <w:pPr>
        <w:pStyle w:val="Heading3"/>
        <w:spacing w:after="120" w:before="240"/>
      </w:pPr>
      <w:r>
        <w:rPr>
          <w:b/>
          <w:bCs/>
          <w:color w:val="2E5AAC"/>
          <w:sz w:val="22"/>
          <w:szCs w:val="22"/>
        </w:rPr>
        <w:t xml:space="preserve">Full listing: .github/workflows/deploy-destination.yml</w:t>
      </w:r>
    </w:p>
    <w:p>
      <w:pPr>
        <w:spacing w:after="0"/>
      </w:pPr>
    </w:p>
    <w:p>
      <w:pPr>
        <w:pBdr>
          <w:left w:val="single" w:color="BFBFBF" w:sz="12"/>
        </w:pBdr>
        <w:shd w:fill="F5F5F5" w:val="clear"/>
        <w:spacing w:after="0" w:line="240"/>
        <w:ind w:left="120"/>
      </w:pPr>
      <w:r>
        <w:rPr>
          <w:rFonts w:ascii="Consolas" w:cs="Consolas" w:eastAsia="Consolas" w:hAnsi="Consolas"/>
          <w:color w:val="1A1A1A"/>
          <w:sz w:val="15"/>
          <w:szCs w:val="15"/>
        </w:rPr>
        <w:t xml:space="preserve">name: Deploy to Salesforce Environment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Real deploys happen here, one per environment branch:</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dev -&gt; Dev org, qa -&gt; QA/Integration org, uat -&gt; UAT org, release -&gt; Production org</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`master` is intentionally excluded: it only accumulates the released,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already-deployed history after a release branch has shipped to</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Production - merging into it does not trigger another deploy.</w:t>
      </w:r>
    </w:p>
    <w:p>
      <w:pPr>
        <w:pBdr>
          <w:left w:val="single" w:color="BFBFBF" w:sz="12"/>
        </w:pBdr>
        <w:shd w:fill="F5F5F5" w:val="clear"/>
        <w:spacing w:after="0" w:line="240"/>
        <w:ind w:left="120"/>
      </w:pPr>
      <w:r>
        <w:rPr>
          <w:rFonts w:ascii="Consolas" w:cs="Consolas" w:eastAsia="Consolas" w:hAnsi="Consolas"/>
          <w:color w:val="1A1A1A"/>
          <w:sz w:val="15"/>
          <w:szCs w:val="15"/>
        </w:rPr>
        <w:t xml:space="preserv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Deploying to `uat`/`production` should require a human approval: configure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"Required reviewers" on the corresponding GitHub Environment (Settings -&gt;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Environments) so the job pauses for sign-off before it runs. This is not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expressible in YAML - it must be configured on the Environment itself.</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on: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push:</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branches: [ dev, qa, uat, release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paths: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'force-app/**'</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'manifest/**'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workflow_dispatch:</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inputs: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environment: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description: 'Environment to deploy to (only needed for a manual run)'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required: true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type: choice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options: [ dev, qa, uat, production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from_ref:</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description: 'Git ref/SHA to diff from (defaults to the previous commit on this branch)'</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required: false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type: string</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permissions: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contents: read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env:</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SF_USE_GENERIC_UNIX_KEYCHAIN: true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SF_DOMAIN_RETRY: 300</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GitHub-hosted runners prefer IPv6 DNS resolution, which can hang/fail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when calling Salesforce's API endpoints via Node's fetch. Force IPv4.</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NODE_OPTIONS: --dns-result-order=ipv4first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SF_DISABLE_APP_HUB: true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SF_LOG_LEVEL: WARN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jobs: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determine-environment: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runs-on: ubuntu-latest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outputs: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environment: ${{ steps.map.outputs.environment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test_level: ${{ steps.map.outputs.test_level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steps: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Map branch to Salesforce environment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id: map</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set -euo pipefail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if [ -n "${{ inputs.environment }}" ]; then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ENVIRONMENT="${{ inputs.environment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else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case "${{ github.ref_name }}" in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dev)     ENVIRONMENT="dev"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qa)      ENVIRONMENT="qa"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uat)     ENVIRONMENT="uat"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release) ENVIRONMENT="production"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"::error::No environment mapping defined for branch '${{ github.ref_name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exit 1</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esac</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fi</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Apex tests are intentionally skipped for the dev/qa deploys to</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keep that feedback loop fast; UAT and Production always run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local tests. (Salesforce disallows NoTestRun for Production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outright, so this would be a hard requirement there regardless.)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case "$ENVIRONMENT" in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dev|qa)         TEST_LEVEL="NoTestRun"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uat|production) TEST_LEVEL="RunLocalTests"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esac</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"environment=$ENVIRONMENT" &gt;&gt; "$GITHUB_OUTPUT"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"test_level=$TEST_LEVEL" &gt;&gt; "$GITHUB_OUTPUT"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"Deploying branch '${{ github.ref_name }}' -&gt; '$ENVIRONMENT' with test level '$TEST_LEVEL'"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deploy:</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needs: determine-environment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Picks up this environment's own secrets, and - critically - any</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required-reviewer protection rule configured on it in GitHub Settings.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That reviewer gate is the actual production safety control; nothing</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in this file can substitute for it.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environment: ${{ needs.determine-environment.outputs.environment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One deploy at a time per environment, and never cancel one that's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already running mid-deploy - queue behind it instead.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concurrency:</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group: deploy-${{ needs.determine-environment.outputs.environment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cancel-in-progress: false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runs-on: ubuntu-latest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steps: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Checkout source code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uses: actions/checkout@11d5960a326750d5838078e36cf38b85af677262 # v4.2.2</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with:</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fetch-depth: 0</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persist-credentials: false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Setup Node.js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uses: actions/setup-node@49933ea5288caeca8642d1e84afbd3f7d6820020 # v4.4.0</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with:</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node-version: '22'</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Install Salesforce CLI</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set -euo pipefail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npm install -g @salesforce/cli@2.146.3</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sf --version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Install SFDX Git Delta plugin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set -euo pipefail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y | sf plugins install sfdx-git-delta@6.45.1</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Write JWT key to a restricted temp file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set -euo pipefail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umask 077</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printf '%s' "${{ secrets.SF_JWT_KEY }}" &gt; "$RUNNER_TEMP/jwt-key.txt"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Authenticate to Salesforce (JWT bearer flow)</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set -euo pipefail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sf org login jwt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--client-id "${{ secrets.SF_CLIENT_ID }}"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--jwt-key-file "$RUNNER_TEMP/jwt-key.txt"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--username "${{ secrets.SF_USERNAME }}"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--instance-url "${{ secrets.SF_INSTANCE_URL }}"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--alias target-org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--set-default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Verify authentication and target org identity</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set -euo pipefail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ORG_INFO=$(sf org display --target-org target-org --json)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ORG_ID=$(echo "$ORG_INFO" | jq -r '.result.id')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"Authenticated to org: $ORG_ID"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Optional guardrail: if an environment defines SF_EXPECTED_ORG_ID,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refuse to continue on a mismatch, e.g. UAT credentials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accidentally saved under the Production GitHub Environment.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if [ -n "${{ secrets.SF_EXPECTED_ORG_ID }}" ] &amp;&amp; [ "$ORG_ID" != "${{ secrets.SF_EXPECTED_ORG_ID }}" ]; then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"::error::Authenticated org ($ORG_ID) does not match SF_EXPECTED_ORG_ID configured for the '${{ needs.determine-environment.outputs.environment }}' environment. Refusing to continue - check for a secrets misconfiguration."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exit 1</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fi</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Generate delta package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set -euo pipefail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BEFORE_SHA="${{ inputs.from_ref || github.event.before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AFTER_SHA="${{ github.sha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On the branch's first push (or a manual dispatch with no</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from_ref), github.event.before is empty/all-zeros - fall back</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to diffing against the parent commit instead.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if [ -z "$BEFORE_SHA" ] || [ "$BEFORE_SHA" = "0000000000000000000000000000000000000000" ]; then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BEFORE_SHA=$(git rev-parse "$AFTER_SHA^" 2&gt;/dev/null || echo "$AFTER_SHA")</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fi</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"Generating delta package between $BEFORE_SHA and $AFTER_SHA"</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mkdir -p delta</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sf sgd:source:delta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--to "$AFTER_SHA"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--from "$BEFORE_SHA"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--output-dir delta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--generate-delta</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"Generated package.xml:"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cat delta/package/package.xml 2&gt;/dev/null || echo "No package.xml generated"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if [ ! -f "delta/package/package.xml" ] || ! grep -q "&lt;members&gt;" delta/package/package.xml; then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"No metadata changes detected - nothing to deploy"</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"SKIP_DEPLOYMENT=true" &gt;&gt; "$GITHUB_ENV"</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else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"SKIP_DEPLOYMENT=false" &gt;&gt; "$GITHUB_ENV"</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fi</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dev/qa: deploy directly with NoTestRun, no separate validate step.</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`sf project deploy validate` (checkOnly) rejects NoTestRun outright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Salesforce doesn't consider a dry-run with zero tests meaningful - so</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the validate+quick-deploy two-step pattern can't be used here at all.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A direct one-step deploy is the only way to actually skip tests.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Deploy directly (dev/qa - tests skipped for fast iteration)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id: direct_deploy_step</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if: env.SKIP_DEPLOYMENT == 'false' &amp;&amp; (needs.determine-environment.outputs.test_level == 'NoTestRun')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set -euo pipefail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"Deploying directly to '${{ needs.determine-environment.outputs.environment }}' with test level 'NoTestRun'"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if ! DEPLOY_RESULT=$(sf project deploy start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--manifest delta/package/package.xml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--target-org target-org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--test-level NoTestRun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--wait 30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--json); then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"$DEPLOY_RESULT" | jq . 2&gt;/dev/null || echo "$DEPLOY_RESULT"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"::error::Deploy failed against '${{ needs.determine-environment.outputs.environment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exit 1</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fi</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"$DEPLOY_RESULT" | jq -r '.result.id' | xargs -I{} echo "deploy_id={}" &gt;&gt; "$GITHUB_OUTPUT"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uat/production: validate first (RunLocalTests, mandatory - Salesforce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disallows NoTestRun for Production regardless of policy), then quick</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deploy the exact package that was just validated.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Validate deployment (uat/production - tests required)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id: validate_step</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if: env.SKIP_DEPLOYMENT == 'false' &amp;&amp; (needs.determine-environment.outputs.test_level == 'RunLocalTests')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set -euo pipefail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"Validating against '${{ needs.determine-environment.outputs.environment }}' with test level 'RunLocalTests' before deploying"</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if ! VALIDATION_RESULT=$(sf project deploy validate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--manifest delta/package/package.xml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--target-org target-org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--test-level RunLocalTests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--wait 30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--json); then</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"$VALIDATION_RESULT" | jq . 2&gt;/dev/null || echo "$VALIDATION_RESULT"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"::error::Validation failed - aborting before any deploy is attempted"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exit 1</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fi</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DEPLOY_ID=$(echo "$VALIDATION_RESULT" | jq -r '.result.id')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"validation_id=$DEPLOY_ID" &gt;&gt; "$GITHUB_OUTPUT"</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"Validation ID: $DEPLOY_ID"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Deploy to target org (quick deploy of the already-validated package)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if: env.SKIP_DEPLOYMENT == 'false' &amp;&amp; steps.validate_step.outputs.validation_id</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set -euo pipefail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"Quick-deploying validated package ${{ steps.validate_step.outputs.validation_id }} to '${{ needs.determine-environment.outputs.environment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sf project deploy quick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--job-id "${{ steps.validate_step.outputs.validation_id }}"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--target-org target-org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--wait 30</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Write deployment summary</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if: always()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 Deploy summary"</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 **Environment:** ${{ needs.determine-environment.outputs.environment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 **Test level:** ${{ needs.determine-environment.outputs.test_level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 **Branch:** ${{ github.ref_name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 **Commit:** ${{ github.sha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echo "- **Deploy ID:** ${{ steps.direct_deploy_step.outputs.deploy_id || steps.validate_step.outputs.validation_id || 'n/a (no changes deployed)'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&gt;&gt; "$GITHUB_STEP_SUMMARY"</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 name: Revoke Salesforce session and remove key material</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if: always()</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run: |</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sf org logout --target-org target-org --no-prompt || true</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rm -f "$RUNNER_TEMP/jwt-key.txt"</w:t>
      </w:r>
    </w:p>
    <w:p>
      <w:pPr>
        <w:spacing w:after="160"/>
      </w:pPr>
    </w:p>
    <w:p>
      <w:r>
        <w:br w:type="page"/>
      </w:r>
    </w:p>
    <w:p>
      <w:pPr>
        <w:pStyle w:val="Heading1"/>
        <w:pBdr>
          <w:bottom w:val="single" w:color="2E5AAC" w:sz="8" w:space="4"/>
        </w:pBdr>
        <w:spacing w:after="240" w:before="480"/>
      </w:pPr>
      <w:r>
        <w:rPr>
          <w:b/>
          <w:bCs/>
          <w:color w:val="1F3864"/>
          <w:sz w:val="32"/>
          <w:szCs w:val="32"/>
        </w:rPr>
        <w:t xml:space="preserve">8. Known Issues Encountered &amp; Resolutions</w:t>
      </w:r>
    </w:p>
    <w:p>
      <w:pPr>
        <w:spacing w:after="160" w:line="276"/>
      </w:pPr>
      <w:r>
        <w:rPr>
          <w:sz w:val="21"/>
          <w:szCs w:val="21"/>
        </w:rPr>
        <w:t xml:space="preserve">This section is a troubleshooting log of every real failure hit while building this pipeline, kept deliberately detailed because these are exactly the kind of environment/tooling quirks that are expensive to re-discover later. Every row below was an actual CI run failure, not a hypothetical.</w:t>
      </w:r>
    </w:p>
    <w:p>
      <w:pPr>
        <w:pStyle w:val="Heading2"/>
        <w:spacing w:after="160" w:before="360"/>
      </w:pPr>
      <w:r>
        <w:rPr>
          <w:b/>
          <w:bCs/>
          <w:color w:val="1F3864"/>
          <w:sz w:val="26"/>
          <w:szCs w:val="26"/>
        </w:rPr>
        <w:t xml:space="preserve">8.1 Node.js Version Compatibility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60"/>
      </w:tblGrid>
      <w:tr>
        <w:trPr>
          <w:tblHeader/>
        </w:trPr>
        <w:tc>
          <w:tcPr>
            <w:tcW w:type="dxa" w:w="3200"/>
            <w:shd w:fill="1F3864" w:val="clear"/>
            <w:tcMar>
              <w:top w:type="dxa" w:w="80"/>
              <w:left w:type="dxa" w:w="100"/>
              <w:bottom w:type="dxa" w:w="80"/>
              <w:right w:type="dxa" w:w="100"/>
            </w:tcMar>
            <w:vAlign w:val="center"/>
          </w:tcPr>
          <w:p>
            <w:r>
              <w:rPr>
                <w:b/>
                <w:bCs/>
                <w:color w:val="FFFFFF"/>
                <w:sz w:val="19"/>
                <w:szCs w:val="19"/>
              </w:rPr>
              <w:t xml:space="preserve">Node version tried</w:t>
            </w:r>
          </w:p>
        </w:tc>
        <w:tc>
          <w:tcPr>
            <w:tcW w:type="dxa" w:w="6160"/>
            <w:shd w:fill="1F3864" w:val="clear"/>
            <w:tcMar>
              <w:top w:type="dxa" w:w="80"/>
              <w:left w:type="dxa" w:w="100"/>
              <w:bottom w:type="dxa" w:w="80"/>
              <w:right w:type="dxa" w:w="100"/>
            </w:tcMar>
            <w:vAlign w:val="center"/>
          </w:tcPr>
          <w:p>
            <w:r>
              <w:rPr>
                <w:b/>
                <w:bCs/>
                <w:color w:val="FFFFFF"/>
                <w:sz w:val="19"/>
                <w:szCs w:val="19"/>
              </w:rPr>
              <w:t xml:space="preserve">Result</w:t>
            </w:r>
          </w:p>
        </w:tc>
      </w:tr>
      <w:tr>
        <w:tc>
          <w:tcPr>
            <w:tcW w:type="dxa" w:w="3200"/>
            <w:shd w:fill="FFFFFF" w:val="clear"/>
            <w:tcMar>
              <w:top w:type="dxa" w:w="80"/>
              <w:left w:type="dxa" w:w="100"/>
              <w:bottom w:type="dxa" w:w="80"/>
              <w:right w:type="dxa" w:w="100"/>
            </w:tcMar>
            <w:vAlign w:val="center"/>
          </w:tcPr>
          <w:p>
            <w:r>
              <w:rPr>
                <w:sz w:val="19"/>
                <w:szCs w:val="19"/>
              </w:rPr>
              <w:t xml:space="preserve">18</w:t>
            </w:r>
          </w:p>
        </w:tc>
        <w:tc>
          <w:tcPr>
            <w:tcW w:type="dxa" w:w="6160"/>
            <w:shd w:fill="FFFFFF" w:val="clear"/>
            <w:tcMar>
              <w:top w:type="dxa" w:w="80"/>
              <w:left w:type="dxa" w:w="100"/>
              <w:bottom w:type="dxa" w:w="80"/>
              <w:right w:type="dxa" w:w="100"/>
            </w:tcMar>
            <w:vAlign w:val="center"/>
          </w:tcPr>
          <w:p>
            <w:r>
              <w:rPr>
                <w:sz w:val="19"/>
                <w:szCs w:val="19"/>
              </w:rPr>
              <w:t xml:space="preserve">sfdx-git-delta plugin install failed — the published plugin uses a regex feature (the 'v' flag) that requires a newer Node runtime.</w:t>
            </w:r>
          </w:p>
        </w:tc>
      </w:tr>
      <w:tr>
        <w:tc>
          <w:tcPr>
            <w:tcW w:type="dxa" w:w="3200"/>
            <w:shd w:fill="F2F2F2" w:val="clear"/>
            <w:tcMar>
              <w:top w:type="dxa" w:w="80"/>
              <w:left w:type="dxa" w:w="100"/>
              <w:bottom w:type="dxa" w:w="80"/>
              <w:right w:type="dxa" w:w="100"/>
            </w:tcMar>
            <w:vAlign w:val="center"/>
          </w:tcPr>
          <w:p>
            <w:r>
              <w:rPr>
                <w:sz w:val="19"/>
                <w:szCs w:val="19"/>
              </w:rPr>
              <w:t xml:space="preserve">20 (latest patch at the time)</w:t>
            </w:r>
          </w:p>
        </w:tc>
        <w:tc>
          <w:tcPr>
            <w:tcW w:type="dxa" w:w="6160"/>
            <w:shd w:fill="F2F2F2" w:val="clear"/>
            <w:tcMar>
              <w:top w:type="dxa" w:w="80"/>
              <w:left w:type="dxa" w:w="100"/>
              <w:bottom w:type="dxa" w:w="80"/>
              <w:right w:type="dxa" w:w="100"/>
            </w:tcMar>
            <w:vAlign w:val="center"/>
          </w:tcPr>
          <w:p>
            <w:r>
              <w:rPr>
                <w:sz w:val="19"/>
                <w:szCs w:val="19"/>
              </w:rPr>
              <w:t xml:space="preserve">A different crash, inside undici/webidl, during CLI operations.</w:t>
            </w:r>
          </w:p>
        </w:tc>
      </w:tr>
      <w:tr>
        <w:tc>
          <w:tcPr>
            <w:tcW w:type="dxa" w:w="3200"/>
            <w:shd w:fill="FFFFFF" w:val="clear"/>
            <w:tcMar>
              <w:top w:type="dxa" w:w="80"/>
              <w:left w:type="dxa" w:w="100"/>
              <w:bottom w:type="dxa" w:w="80"/>
              <w:right w:type="dxa" w:w="100"/>
            </w:tcMar>
            <w:vAlign w:val="center"/>
          </w:tcPr>
          <w:p>
            <w:r>
              <w:rPr>
                <w:sz w:val="19"/>
                <w:szCs w:val="19"/>
              </w:rPr>
              <w:t xml:space="preserve">22</w:t>
            </w:r>
          </w:p>
        </w:tc>
        <w:tc>
          <w:tcPr>
            <w:tcW w:type="dxa" w:w="6160"/>
            <w:shd w:fill="FFFFFF" w:val="clear"/>
            <w:tcMar>
              <w:top w:type="dxa" w:w="80"/>
              <w:left w:type="dxa" w:w="100"/>
              <w:bottom w:type="dxa" w:w="80"/>
              <w:right w:type="dxa" w:w="100"/>
            </w:tcMar>
            <w:vAlign w:val="center"/>
          </w:tcPr>
          <w:p>
            <w:r>
              <w:rPr>
                <w:sz w:val="19"/>
                <w:szCs w:val="19"/>
              </w:rPr>
              <w:t xml:space="preserve">Works. This is the version pinned in both workflows.</w:t>
            </w:r>
          </w:p>
        </w:tc>
      </w:tr>
    </w:tbl>
    <w:p>
      <w:pPr>
        <w:pStyle w:val="Heading2"/>
        <w:spacing w:after="160" w:before="360"/>
      </w:pPr>
      <w:r>
        <w:rPr>
          <w:b/>
          <w:bCs/>
          <w:color w:val="1F3864"/>
          <w:sz w:val="26"/>
          <w:szCs w:val="26"/>
        </w:rPr>
        <w:t xml:space="preserve">8.2 IPv6 DNS Resolution Breaking Salesforce API Calls</w:t>
      </w:r>
    </w:p>
    <w:p>
      <w:pPr>
        <w:spacing w:after="160" w:line="276"/>
      </w:pPr>
      <w:r>
        <w:rPr>
          <w:sz w:val="21"/>
          <w:szCs w:val="21"/>
        </w:rPr>
        <w:t xml:space="preserve">Symptom: sf org login jwt would hang for roughly 2–3 minutes and then fail with a generic Error (10): fetch failed, with no further detail.</w:t>
      </w:r>
    </w:p>
    <w:p>
      <w:pPr>
        <w:spacing w:after="160" w:line="276"/>
      </w:pPr>
      <w:r>
        <w:rPr>
          <w:b/>
          <w:bCs/>
          <w:sz w:val="21"/>
          <w:szCs w:val="21"/>
        </w:rPr>
        <w:t xml:space="preserve">Root cause: </w:t>
      </w:r>
      <w:r>
        <w:rPr>
          <w:sz w:val="21"/>
          <w:szCs w:val="21"/>
        </w:rPr>
        <w:t xml:space="preserve">GitHub-hosted Ubuntu runners prefer IPv6 DNS resolution by default. Node's built-in fetch (used internally by the Salesforce CLI's HTTP client) attempts an IPv6 connection to Salesforce's endpoints first; when that path is slow or unreliable, the whole request eventually times out and fails with an unhelpfully generic error.</w:t>
      </w:r>
    </w:p>
    <w:p>
      <w:pPr>
        <w:spacing w:after="160" w:line="276"/>
      </w:pPr>
      <w:r>
        <w:rPr>
          <w:b/>
          <w:bCs/>
          <w:sz w:val="21"/>
          <w:szCs w:val="21"/>
        </w:rPr>
        <w:t xml:space="preserve">Fix: </w:t>
      </w:r>
      <w:r>
        <w:rPr>
          <w:sz w:val="21"/>
          <w:szCs w:val="21"/>
        </w:rPr>
        <w:t xml:space="preserve">set NODE_OPTIONS: --dns-result-order=ipv4first at the workflow env: level, forcing IPv4 resolution first. This is a documented, common fix for the same class of issue across many Node-based CLI tools on GitHub Actions, not something specific to Salesforce.</w:t>
      </w:r>
    </w:p>
    <w:p>
      <w:pPr>
        <w:pStyle w:val="Heading2"/>
        <w:spacing w:after="160" w:before="360"/>
      </w:pPr>
      <w:r>
        <w:rPr>
          <w:b/>
          <w:bCs/>
          <w:color w:val="1F3864"/>
          <w:sz w:val="26"/>
          <w:szCs w:val="26"/>
        </w:rPr>
        <w:t xml:space="preserve">8.3 Connected App / JWT Authentication Errors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5160"/>
      </w:tblGrid>
      <w:tr>
        <w:trPr>
          <w:tblHeader/>
        </w:trPr>
        <w:tc>
          <w:tcPr>
            <w:tcW w:type="dxa" w:w="4200"/>
            <w:shd w:fill="1F3864" w:val="clear"/>
            <w:tcMar>
              <w:top w:type="dxa" w:w="80"/>
              <w:left w:type="dxa" w:w="100"/>
              <w:bottom w:type="dxa" w:w="80"/>
              <w:right w:type="dxa" w:w="100"/>
            </w:tcMar>
            <w:vAlign w:val="center"/>
          </w:tcPr>
          <w:p>
            <w:r>
              <w:rPr>
                <w:b/>
                <w:bCs/>
                <w:color w:val="FFFFFF"/>
                <w:sz w:val="19"/>
                <w:szCs w:val="19"/>
              </w:rPr>
              <w:t xml:space="preserve">Error message</w:t>
            </w:r>
          </w:p>
        </w:tc>
        <w:tc>
          <w:tcPr>
            <w:tcW w:type="dxa" w:w="5160"/>
            <w:shd w:fill="1F3864" w:val="clear"/>
            <w:tcMar>
              <w:top w:type="dxa" w:w="80"/>
              <w:left w:type="dxa" w:w="100"/>
              <w:bottom w:type="dxa" w:w="80"/>
              <w:right w:type="dxa" w:w="100"/>
            </w:tcMar>
            <w:vAlign w:val="center"/>
          </w:tcPr>
          <w:p>
            <w:r>
              <w:rPr>
                <w:b/>
                <w:bCs/>
                <w:color w:val="FFFFFF"/>
                <w:sz w:val="19"/>
                <w:szCs w:val="19"/>
              </w:rPr>
              <w:t xml:space="preserve">Cause &amp; fix</w:t>
            </w:r>
          </w:p>
        </w:tc>
      </w:tr>
      <w:tr>
        <w:tc>
          <w:tcPr>
            <w:tcW w:type="dxa" w:w="4200"/>
            <w:shd w:fill="FFFFFF" w:val="clear"/>
            <w:tcMar>
              <w:top w:type="dxa" w:w="80"/>
              <w:left w:type="dxa" w:w="100"/>
              <w:bottom w:type="dxa" w:w="80"/>
              <w:right w:type="dxa" w:w="100"/>
            </w:tcMar>
            <w:vAlign w:val="center"/>
          </w:tcPr>
          <w:p>
            <w:r>
              <w:rPr>
                <w:sz w:val="19"/>
                <w:szCs w:val="19"/>
              </w:rPr>
              <w:t xml:space="preserve">“user is not admin approved to access this app”</w:t>
            </w:r>
          </w:p>
        </w:tc>
        <w:tc>
          <w:tcPr>
            <w:tcW w:type="dxa" w:w="5160"/>
            <w:shd w:fill="FFFFFF" w:val="clear"/>
            <w:tcMar>
              <w:top w:type="dxa" w:w="80"/>
              <w:left w:type="dxa" w:w="100"/>
              <w:bottom w:type="dxa" w:w="80"/>
              <w:right w:type="dxa" w:w="100"/>
            </w:tcMar>
            <w:vAlign w:val="center"/>
          </w:tcPr>
          <w:p>
            <w:r>
              <w:rPr>
                <w:sz w:val="19"/>
                <w:szCs w:val="19"/>
              </w:rPr>
              <w:t xml:space="preserve">Connected App's Permitted Users policy was left at its default. Fixed by setting Permitted Users to “Admin approved users are pre-authorized” and adding the running user's profile under Manage Profiles.</w:t>
            </w:r>
          </w:p>
        </w:tc>
      </w:tr>
      <w:tr>
        <w:tc>
          <w:tcPr>
            <w:tcW w:type="dxa" w:w="4200"/>
            <w:shd w:fill="F2F2F2" w:val="clear"/>
            <w:tcMar>
              <w:top w:type="dxa" w:w="80"/>
              <w:left w:type="dxa" w:w="100"/>
              <w:bottom w:type="dxa" w:w="80"/>
              <w:right w:type="dxa" w:w="100"/>
            </w:tcMar>
            <w:vAlign w:val="center"/>
          </w:tcPr>
          <w:p>
            <w:r>
              <w:rPr>
                <w:sz w:val="19"/>
                <w:szCs w:val="19"/>
              </w:rPr>
              <w:t xml:space="preserve">“refresh_token scope is required and the connected app should be installed and preauthorized”</w:t>
            </w:r>
          </w:p>
        </w:tc>
        <w:tc>
          <w:tcPr>
            <w:tcW w:type="dxa" w:w="5160"/>
            <w:shd w:fill="F2F2F2" w:val="clear"/>
            <w:tcMar>
              <w:top w:type="dxa" w:w="80"/>
              <w:left w:type="dxa" w:w="100"/>
              <w:bottom w:type="dxa" w:w="80"/>
              <w:right w:type="dxa" w:w="100"/>
            </w:tcMar>
            <w:vAlign w:val="center"/>
          </w:tcPr>
          <w:p>
            <w:r>
              <w:rPr>
                <w:sz w:val="19"/>
                <w:szCs w:val="19"/>
              </w:rPr>
              <w:t xml:space="preserve">The Connected App's OAuth Scopes list was missing “Perform requests on your behalf at any time (refresh_token, offline_access)”. Full access alone is not sufficient — this scope must be added explicitly even for JWT Bearer Flow, which doesn't use a refresh token in the traditional sense.</w:t>
            </w:r>
          </w:p>
        </w:tc>
      </w:tr>
    </w:tbl>
    <w:p>
      <w:pPr>
        <w:pStyle w:val="Heading2"/>
        <w:spacing w:after="160" w:before="360"/>
      </w:pPr>
      <w:r>
        <w:rPr>
          <w:b/>
          <w:bCs/>
          <w:color w:val="1F3864"/>
          <w:sz w:val="26"/>
          <w:szCs w:val="26"/>
        </w:rPr>
        <w:t xml:space="preserve">8.4 sf project deploy quick Flag Name</w:t>
      </w:r>
    </w:p>
    <w:p>
      <w:pPr>
        <w:spacing w:after="160" w:line="276"/>
      </w:pPr>
      <w:r>
        <w:rPr>
          <w:sz w:val="21"/>
          <w:szCs w:val="21"/>
        </w:rPr>
        <w:t xml:space="preserve">The reference material this pipeline was originally based on used sf project deploy quick --deploy-id &lt;id&gt;. The installed CLI version (2.146.3) rejected this outright: “Nonexistent flag: --deploy-id”. Checking sf project deploy quick --help confirmed the correct flag is -i / --job-id. This is a case of documentation/tutorials lagging behind a CLI rename; always check --help against the actual installed version rather than trusting an external article.</w:t>
      </w:r>
    </w:p>
    <w:p>
      <w:pPr>
        <w:pStyle w:val="Heading2"/>
        <w:spacing w:after="160" w:before="360"/>
      </w:pPr>
      <w:r>
        <w:rPr>
          <w:b/>
          <w:bCs/>
          <w:color w:val="1F3864"/>
          <w:sz w:val="26"/>
          <w:szCs w:val="26"/>
        </w:rPr>
        <w:t xml:space="preserve">8.5 Delta Generation Edge Cases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5760"/>
      </w:tblGrid>
      <w:tr>
        <w:trPr>
          <w:tblHeader/>
        </w:trPr>
        <w:tc>
          <w:tcPr>
            <w:tcW w:type="dxa" w:w="3600"/>
            <w:shd w:fill="1F3864" w:val="clear"/>
            <w:tcMar>
              <w:top w:type="dxa" w:w="80"/>
              <w:left w:type="dxa" w:w="100"/>
              <w:bottom w:type="dxa" w:w="80"/>
              <w:right w:type="dxa" w:w="100"/>
            </w:tcMar>
            <w:vAlign w:val="center"/>
          </w:tcPr>
          <w:p>
            <w:r>
              <w:rPr>
                <w:b/>
                <w:bCs/>
                <w:color w:val="FFFFFF"/>
                <w:sz w:val="19"/>
                <w:szCs w:val="19"/>
              </w:rPr>
              <w:t xml:space="preserve">Symptom</w:t>
            </w:r>
          </w:p>
        </w:tc>
        <w:tc>
          <w:tcPr>
            <w:tcW w:type="dxa" w:w="5760"/>
            <w:shd w:fill="1F3864" w:val="clear"/>
            <w:tcMar>
              <w:top w:type="dxa" w:w="80"/>
              <w:left w:type="dxa" w:w="100"/>
              <w:bottom w:type="dxa" w:w="80"/>
              <w:right w:type="dxa" w:w="100"/>
            </w:tcMar>
            <w:vAlign w:val="center"/>
          </w:tcPr>
          <w:p>
            <w:r>
              <w:rPr>
                <w:b/>
                <w:bCs/>
                <w:color w:val="FFFFFF"/>
                <w:sz w:val="19"/>
                <w:szCs w:val="19"/>
              </w:rPr>
              <w:t xml:space="preserve">Cause &amp; fix</w:t>
            </w:r>
          </w:p>
        </w:tc>
      </w:tr>
      <w:tr>
        <w:tc>
          <w:tcPr>
            <w:tcW w:type="dxa" w:w="3600"/>
            <w:shd w:fill="FFFFFF" w:val="clear"/>
            <w:tcMar>
              <w:top w:type="dxa" w:w="80"/>
              <w:left w:type="dxa" w:w="100"/>
              <w:bottom w:type="dxa" w:w="80"/>
              <w:right w:type="dxa" w:w="100"/>
            </w:tcMar>
            <w:vAlign w:val="center"/>
          </w:tcPr>
          <w:p>
            <w:r>
              <w:rPr>
                <w:sz w:val="19"/>
                <w:szCs w:val="19"/>
              </w:rPr>
              <w:t xml:space="preserve">Deploy workflow triggered via workflow_dispatch failed at the delta step with “Flag --from expects a value”</w:t>
            </w:r>
          </w:p>
        </w:tc>
        <w:tc>
          <w:tcPr>
            <w:tcW w:type="dxa" w:w="5760"/>
            <w:shd w:fill="FFFFFF" w:val="clear"/>
            <w:tcMar>
              <w:top w:type="dxa" w:w="80"/>
              <w:left w:type="dxa" w:w="100"/>
              <w:bottom w:type="dxa" w:w="80"/>
              <w:right w:type="dxa" w:w="100"/>
            </w:tcMar>
            <w:vAlign w:val="center"/>
          </w:tcPr>
          <w:p>
            <w:r>
              <w:rPr>
                <w:sz w:val="19"/>
                <w:szCs w:val="19"/>
              </w:rPr>
              <w:t xml:space="preserve">github.event.before is not just empty for a manual workflow_dispatch run — it doesn't exist as a property at all, so the workflow's BEFORE_SHA variable came out as an empty string. The original fallback check only handled the literal all-zeros SHA git uses for a branch's first push, not an empty string. Fixed by also checking for an empty string, and added a from_ref manual-dispatch input for explicitly re-diffing against an arbitrary commit.</w:t>
            </w:r>
          </w:p>
        </w:tc>
      </w:tr>
      <w:tr>
        <w:tc>
          <w:tcPr>
            <w:tcW w:type="dxa" w:w="3600"/>
            <w:shd w:fill="F2F2F2" w:val="clear"/>
            <w:tcMar>
              <w:top w:type="dxa" w:w="80"/>
              <w:left w:type="dxa" w:w="100"/>
              <w:bottom w:type="dxa" w:w="80"/>
              <w:right w:type="dxa" w:w="100"/>
            </w:tcMar>
            <w:vAlign w:val="center"/>
          </w:tcPr>
          <w:p>
            <w:r>
              <w:rPr>
                <w:sz w:val="19"/>
                <w:szCs w:val="19"/>
              </w:rPr>
              <w:t xml:space="preserve">A deploy step proceeded with an empty &lt;Package/&gt; (no &lt;members&gt;) and then failed against the Salesforce API</w:t>
            </w:r>
          </w:p>
        </w:tc>
        <w:tc>
          <w:tcPr>
            <w:tcW w:type="dxa" w:w="5760"/>
            <w:shd w:fill="F2F2F2" w:val="clear"/>
            <w:tcMar>
              <w:top w:type="dxa" w:w="80"/>
              <w:left w:type="dxa" w:w="100"/>
              <w:bottom w:type="dxa" w:w="80"/>
              <w:right w:type="dxa" w:w="100"/>
            </w:tcMar>
            <w:vAlign w:val="center"/>
          </w:tcPr>
          <w:p>
            <w:r>
              <w:rPr>
                <w:sz w:val="19"/>
                <w:szCs w:val="19"/>
              </w:rPr>
              <w:t xml:space="preserve">The original check only tested whether package.xml was non-empty in file size — but a delta with zero actual metadata changes still produces a well-formed, non-empty XML shell (just the version tag, no members). Fixed by checking for the literal string &lt;members&gt; inside the file instead of just file size.</w:t>
            </w:r>
          </w:p>
        </w:tc>
      </w:tr>
    </w:tbl>
    <w:p>
      <w:pPr>
        <w:pStyle w:val="Heading2"/>
        <w:spacing w:after="160" w:before="360"/>
      </w:pPr>
      <w:r>
        <w:rPr>
          <w:b/>
          <w:bCs/>
          <w:color w:val="1F3864"/>
          <w:sz w:val="26"/>
          <w:szCs w:val="26"/>
        </w:rPr>
        <w:t xml:space="preserve">8.6 Test Coverage Enforcement Working As Intended</w:t>
      </w:r>
    </w:p>
    <w:p>
      <w:pPr>
        <w:spacing w:after="160" w:line="276"/>
      </w:pPr>
      <w:r>
        <w:rPr>
          <w:sz w:val="21"/>
          <w:szCs w:val="21"/>
        </w:rPr>
        <w:t xml:space="preserve">The very first test PR in the proof-of-concept pipeline failed validation with: “Average test coverage across all Apex Classes and Triggers is 0%, at least 75% test coverage is required.” This was not a bug — it was the merge gate correctly catching that the org had an Apex class with no accompanying test class. Resolved by adding one (JDApexTest), not by weakening the gate. Recorded here because it's worth remembering as a template for how future coverage failures should be triaged: check whether the gate is right before assuming the pipeline is broken.</w:t>
      </w:r>
    </w:p>
    <w:p>
      <w:pPr>
        <w:pStyle w:val="Heading2"/>
        <w:spacing w:after="160" w:before="360"/>
      </w:pPr>
      <w:r>
        <w:rPr>
          <w:b/>
          <w:bCs/>
          <w:color w:val="1F3864"/>
          <w:sz w:val="26"/>
          <w:szCs w:val="26"/>
        </w:rPr>
        <w:t xml:space="preserve">8.7 NoTestRun Rejected by sf project deploy validate</w:t>
      </w:r>
    </w:p>
    <w:p>
      <w:pPr>
        <w:spacing w:after="160" w:line="276"/>
      </w:pPr>
      <w:r>
        <w:rPr>
          <w:sz w:val="21"/>
          <w:szCs w:val="21"/>
        </w:rPr>
        <w:t xml:space="preserve">Covered in full in Section 6.2. Summary: --test-level NoTestRun is only accepted by an actual deploy (sf project deploy start), never by the validate/checkOnly command. Discovered via a live test run against the Dev org that failed immediately with the CLI's own explicit error message. This changed the deploy-destination.yml design from “always validate then quick-deploy” to a fork: dev/qa use a direct one-step deploy, uat/production keep the two-step pattern.</w:t>
      </w:r>
    </w:p>
    <w:p>
      <w:pPr>
        <w:pStyle w:val="Heading2"/>
        <w:spacing w:after="160" w:before="360"/>
      </w:pPr>
      <w:r>
        <w:rPr>
          <w:b/>
          <w:bCs/>
          <w:color w:val="1F3864"/>
          <w:sz w:val="26"/>
          <w:szCs w:val="26"/>
        </w:rPr>
        <w:t xml:space="preserve">8.8 GitHub Environment Branch-Restriction Policies Breaking pull_request Jobs</w:t>
      </w:r>
    </w:p>
    <w:p>
      <w:pPr>
        <w:spacing w:after="160" w:line="276"/>
      </w:pPr>
      <w:r>
        <w:rPr>
          <w:sz w:val="21"/>
          <w:szCs w:val="21"/>
        </w:rPr>
        <w:t xml:space="preserve">Covered in full in Section 6.3.1. Summary: restricting an Environment to a specific deploying branch silently prevents any pull_request-triggered job scoped to that Environment from ever starting (zero steps execute) because pull_request runs use a synthetic merge ref rather than the literal branch name. Verified with a throwaway test PR, then reverted; branch protection at the repository level is the correct enforcement point instead.</w:t>
      </w:r>
    </w:p>
    <w:p>
      <w:pPr>
        <w:pStyle w:val="Heading2"/>
        <w:spacing w:after="160" w:before="360"/>
      </w:pPr>
      <w:r>
        <w:rPr>
          <w:b/>
          <w:bCs/>
          <w:color w:val="1F3864"/>
          <w:sz w:val="26"/>
          <w:szCs w:val="26"/>
        </w:rPr>
        <w:t xml:space="preserve">8.9 Secret Fallback Behavior (Not a Bug, But a Real Risk If Unaddressed)</w:t>
      </w:r>
    </w:p>
    <w:p>
      <w:pPr>
        <w:spacing w:after="160" w:line="276"/>
      </w:pPr>
      <w:r>
        <w:rPr>
          <w:sz w:val="21"/>
          <w:szCs w:val="21"/>
        </w:rPr>
        <w:t xml:space="preserve">Discovered while testing the new dev GitHub Environment (which intentionally has no environment-level secrets yet): a job scoped to environment: dev still authenticated successfully, because GitHub Secrets fall back to the repository-level secret of the same name when an environment doesn't define its own. This is documented, correct GitHub behavior — but if left unaddressed for qa/uat/production, any workflow run against those would have silently used the real Dev org's credentials instead of failing. Addressed by setting obviously-fake placeholder secrets on qa, uat, and production (Section 6.3).</w:t>
      </w:r>
    </w:p>
    <w:p>
      <w:r>
        <w:br w:type="page"/>
      </w:r>
    </w:p>
    <w:p>
      <w:pPr>
        <w:pStyle w:val="Heading1"/>
        <w:pBdr>
          <w:bottom w:val="single" w:color="2E5AAC" w:sz="8" w:space="4"/>
        </w:pBdr>
        <w:spacing w:after="240" w:before="480"/>
      </w:pPr>
      <w:r>
        <w:rPr>
          <w:b/>
          <w:bCs/>
          <w:color w:val="1F3864"/>
          <w:sz w:val="32"/>
          <w:szCs w:val="32"/>
        </w:rPr>
        <w:t xml:space="preserve">9. Security &amp; Compliance Controls</w:t>
      </w:r>
    </w:p>
    <w:p>
      <w:pPr>
        <w:spacing w:after="160" w:line="276"/>
      </w:pPr>
      <w:r>
        <w:rPr>
          <w:sz w:val="21"/>
          <w:szCs w:val="21"/>
        </w:rPr>
        <w:t xml:space="preserve">A summary of every hardening measure built into this pipeline, and the risk each one addresses. Several of these were added specifically in response to the “ensure industry standard practices, security compliance, no vulnerabilities” requirement.</w:t>
      </w:r>
    </w:p>
    <w:p>
      <w:pPr>
        <w:pStyle w:val="Heading3"/>
        <w:spacing w:after="120" w:before="240"/>
      </w:pPr>
      <w:r>
        <w:rPr>
          <w:b/>
          <w:bCs/>
          <w:color w:val="2E5AAC"/>
          <w:sz w:val="22"/>
          <w:szCs w:val="22"/>
        </w:rPr>
        <w:t xml:space="preserve">9.1 Supply Chain</w:t>
      </w:r>
    </w:p>
    <w:p>
      <w:pPr>
        <w:pStyle w:val="ListParagraph"/>
        <w:numPr>
          <w:ilvl w:val="0"/>
          <w:numId w:val="3"/>
        </w:numPr>
        <w:spacing w:after="80" w:line="264"/>
      </w:pPr>
      <w:r>
        <w:rPr>
          <w:b/>
          <w:bCs/>
          <w:sz w:val="21"/>
          <w:szCs w:val="21"/>
        </w:rPr>
        <w:t xml:space="preserve">Actions pinned to commit SHA, not mutable tags </w:t>
      </w:r>
      <w:r>
        <w:rPr>
          <w:sz w:val="21"/>
          <w:szCs w:val="21"/>
        </w:rPr>
        <w:t xml:space="preserve">(e.g. actions/checkout@11d5960a…, not @v4). A tag can be moved to point at different, potentially malicious code after the fact; a commit SHA cannot.</w:t>
      </w:r>
    </w:p>
    <w:p>
      <w:pPr>
        <w:pStyle w:val="ListParagraph"/>
        <w:numPr>
          <w:ilvl w:val="0"/>
          <w:numId w:val="3"/>
        </w:numPr>
        <w:spacing w:after="80" w:line="264"/>
      </w:pPr>
      <w:r>
        <w:rPr>
          <w:b/>
          <w:bCs/>
          <w:sz w:val="21"/>
          <w:szCs w:val="21"/>
        </w:rPr>
        <w:t xml:space="preserve">CLI and plugin versions pinned exactly </w:t>
      </w:r>
      <w:r>
        <w:rPr>
          <w:sz w:val="21"/>
          <w:szCs w:val="21"/>
        </w:rPr>
        <w:t xml:space="preserve">(@salesforce/cli@2.146.3, sfdx-git-delta@6.45.1) instead of “latest”. Prevents a silent upstream release from breaking or compromising the pipeline; version bumps become a deliberate, reviewable change.</w:t>
      </w:r>
    </w:p>
    <w:p>
      <w:pPr>
        <w:pStyle w:val="Heading3"/>
        <w:spacing w:after="120" w:before="240"/>
      </w:pPr>
      <w:r>
        <w:rPr>
          <w:b/>
          <w:bCs/>
          <w:color w:val="2E5AAC"/>
          <w:sz w:val="22"/>
          <w:szCs w:val="22"/>
        </w:rPr>
        <w:t xml:space="preserve">9.2 Least Privilege</w:t>
      </w:r>
    </w:p>
    <w:p>
      <w:pPr>
        <w:pStyle w:val="ListParagraph"/>
        <w:numPr>
          <w:ilvl w:val="0"/>
          <w:numId w:val="3"/>
        </w:numPr>
        <w:spacing w:after="80" w:line="264"/>
      </w:pPr>
      <w:r>
        <w:rPr>
          <w:b/>
          <w:bCs/>
          <w:sz w:val="21"/>
          <w:szCs w:val="21"/>
        </w:rPr>
        <w:t xml:space="preserve">permissions: contents: read </w:t>
      </w:r>
      <w:r>
        <w:rPr>
          <w:sz w:val="21"/>
          <w:szCs w:val="21"/>
        </w:rPr>
        <w:t xml:space="preserve">set at the workflow level on all three workflows — none of them need to write back to the repository.</w:t>
      </w:r>
    </w:p>
    <w:p>
      <w:pPr>
        <w:pStyle w:val="ListParagraph"/>
        <w:numPr>
          <w:ilvl w:val="0"/>
          <w:numId w:val="3"/>
        </w:numPr>
        <w:spacing w:after="80" w:line="264"/>
      </w:pPr>
      <w:r>
        <w:rPr>
          <w:b/>
          <w:bCs/>
          <w:sz w:val="21"/>
          <w:szCs w:val="21"/>
        </w:rPr>
        <w:t xml:space="preserve">persist-credentials: false </w:t>
      </w:r>
      <w:r>
        <w:rPr>
          <w:sz w:val="21"/>
          <w:szCs w:val="21"/>
        </w:rPr>
        <w:t xml:space="preserve">on every checkout step, so no push-capable git credential is left sitting on the runner after the job finishes.</w:t>
      </w:r>
    </w:p>
    <w:p>
      <w:pPr>
        <w:pStyle w:val="ListParagraph"/>
        <w:numPr>
          <w:ilvl w:val="0"/>
          <w:numId w:val="3"/>
        </w:numPr>
        <w:spacing w:after="80" w:line="264"/>
      </w:pPr>
      <w:r>
        <w:rPr>
          <w:b/>
          <w:bCs/>
          <w:sz w:val="21"/>
          <w:szCs w:val="21"/>
        </w:rPr>
        <w:t xml:space="preserve">Connected App OAuth scope </w:t>
      </w:r>
      <w:r>
        <w:rPr>
          <w:sz w:val="21"/>
          <w:szCs w:val="21"/>
        </w:rPr>
        <w:t xml:space="preserve">flagged for narrowing below “Full access” for real QA/UAT/Production Connected Apps (Section 4.3) — not yet done since those orgs don't exist yet, but explicitly called out as a to-do.</w:t>
      </w:r>
    </w:p>
    <w:p>
      <w:pPr>
        <w:pStyle w:val="Heading3"/>
        <w:spacing w:after="120" w:before="240"/>
      </w:pPr>
      <w:r>
        <w:rPr>
          <w:b/>
          <w:bCs/>
          <w:color w:val="2E5AAC"/>
          <w:sz w:val="22"/>
          <w:szCs w:val="22"/>
        </w:rPr>
        <w:t xml:space="preserve">9.3 Credential Handling</w:t>
      </w:r>
    </w:p>
    <w:p>
      <w:pPr>
        <w:pStyle w:val="ListParagraph"/>
        <w:numPr>
          <w:ilvl w:val="0"/>
          <w:numId w:val="3"/>
        </w:numPr>
        <w:spacing w:after="80" w:line="264"/>
      </w:pPr>
      <w:r>
        <w:rPr>
          <w:sz w:val="21"/>
          <w:szCs w:val="21"/>
        </w:rPr>
        <w:t xml:space="preserve">The JWT private key is written only to a runner-local temp file ($RUNNER_TEMP), created with umask 077 so it's readable only by the job's own user — never committed, never logged.</w:t>
      </w:r>
    </w:p>
    <w:p>
      <w:pPr>
        <w:pStyle w:val="ListParagraph"/>
        <w:numPr>
          <w:ilvl w:val="0"/>
          <w:numId w:val="3"/>
        </w:numPr>
        <w:spacing w:after="80" w:line="264"/>
      </w:pPr>
      <w:r>
        <w:rPr>
          <w:sz w:val="21"/>
          <w:szCs w:val="21"/>
        </w:rPr>
        <w:t xml:space="preserve">Both the Salesforce session (sf org logout) and the key file (rm -f) are cleaned up unconditionally, using if: always(), so a failed run doesn't leave credential material behind.</w:t>
      </w:r>
    </w:p>
    <w:p>
      <w:pPr>
        <w:pStyle w:val="ListParagraph"/>
        <w:numPr>
          <w:ilvl w:val="0"/>
          <w:numId w:val="3"/>
        </w:numPr>
        <w:spacing w:after="80" w:line="264"/>
      </w:pPr>
      <w:r>
        <w:rPr>
          <w:sz w:val="21"/>
          <w:szCs w:val="21"/>
        </w:rPr>
        <w:t xml:space="preserve">Secrets are scoped per GitHub Environment rather than one shared repository-level secret set, so a QA credential compromise (for example) cannot be used against Production.</w:t>
      </w:r>
    </w:p>
    <w:p>
      <w:pPr>
        <w:pStyle w:val="ListParagraph"/>
        <w:numPr>
          <w:ilvl w:val="0"/>
          <w:numId w:val="3"/>
        </w:numPr>
        <w:spacing w:after="80" w:line="264"/>
      </w:pPr>
      <w:r>
        <w:rPr>
          <w:sz w:val="21"/>
          <w:szCs w:val="21"/>
        </w:rPr>
        <w:t xml:space="preserve">GitHub automatically masks any registered secret value that appears in workflow logs, regardless of log level.</w:t>
      </w:r>
    </w:p>
    <w:p>
      <w:pPr>
        <w:pStyle w:val="Heading3"/>
        <w:spacing w:after="120" w:before="240"/>
      </w:pPr>
      <w:r>
        <w:rPr>
          <w:b/>
          <w:bCs/>
          <w:color w:val="2E5AAC"/>
          <w:sz w:val="22"/>
          <w:szCs w:val="22"/>
        </w:rPr>
        <w:t xml:space="preserve">9.4 Human Approval Gates</w:t>
      </w:r>
    </w:p>
    <w:p>
      <w:pPr>
        <w:pStyle w:val="ListParagraph"/>
        <w:numPr>
          <w:ilvl w:val="0"/>
          <w:numId w:val="3"/>
        </w:numPr>
        <w:spacing w:after="80" w:line="264"/>
      </w:pPr>
      <w:r>
        <w:rPr>
          <w:sz w:val="21"/>
          <w:szCs w:val="21"/>
        </w:rPr>
        <w:t xml:space="preserve">Required reviewers configured on the uat and production GitHub Environments — any job (validate or deploy) targeting those pauses for manual sign-off.</w:t>
      </w:r>
    </w:p>
    <w:p>
      <w:pPr>
        <w:pStyle w:val="ListParagraph"/>
        <w:numPr>
          <w:ilvl w:val="0"/>
          <w:numId w:val="3"/>
        </w:numPr>
        <w:spacing w:after="80" w:line="264"/>
      </w:pPr>
      <w:r>
        <w:rPr>
          <w:sz w:val="21"/>
          <w:szCs w:val="21"/>
        </w:rPr>
        <w:t xml:space="preserve">Branch protection requires 1 approval (dev/qa/uat) or 2 approvals (release/master), in addition to — not instead of — the automated checks.</w:t>
      </w:r>
    </w:p>
    <w:p>
      <w:pPr>
        <w:pStyle w:val="ListParagraph"/>
        <w:numPr>
          <w:ilvl w:val="0"/>
          <w:numId w:val="3"/>
        </w:numPr>
        <w:spacing w:after="80" w:line="264"/>
      </w:pPr>
      <w:r>
        <w:rPr>
          <w:sz w:val="21"/>
          <w:szCs w:val="21"/>
        </w:rPr>
        <w:t xml:space="preserve">dismiss_stale_reviews and require_last_push_approval together guarantee the exact commit that gets merged is the exact commit that was both validated and approved — a new push after approval invalidates it.</w:t>
      </w:r>
    </w:p>
    <w:p>
      <w:pPr>
        <w:pStyle w:val="Heading3"/>
        <w:spacing w:after="120" w:before="240"/>
      </w:pPr>
      <w:r>
        <w:rPr>
          <w:b/>
          <w:bCs/>
          <w:color w:val="2E5AAC"/>
          <w:sz w:val="22"/>
          <w:szCs w:val="22"/>
        </w:rPr>
        <w:t xml:space="preserve">9.5 Defense Against Misconfiguration</w:t>
      </w:r>
    </w:p>
    <w:p>
      <w:pPr>
        <w:pStyle w:val="ListParagraph"/>
        <w:numPr>
          <w:ilvl w:val="0"/>
          <w:numId w:val="3"/>
        </w:numPr>
        <w:spacing w:after="80" w:line="264"/>
      </w:pPr>
      <w:r>
        <w:rPr>
          <w:sz w:val="21"/>
          <w:szCs w:val="21"/>
        </w:rPr>
        <w:t xml:space="preserve">An optional SF_EXPECTED_ORG_ID secret, checked immediately after authentication in both workflows: if set for an environment and the authenticated org's ID doesn't match, the job fails immediately with a clear error rather than silently validating or deploying against the wrong org.</w:t>
      </w:r>
    </w:p>
    <w:p>
      <w:pPr>
        <w:pStyle w:val="ListParagraph"/>
        <w:numPr>
          <w:ilvl w:val="0"/>
          <w:numId w:val="3"/>
        </w:numPr>
        <w:spacing w:after="80" w:line="264"/>
      </w:pPr>
      <w:r>
        <w:rPr>
          <w:sz w:val="21"/>
          <w:szCs w:val="21"/>
        </w:rPr>
        <w:t xml:space="preserve">Placeholder secrets on qa/uat/production specifically to prevent the GitHub secret-fallback behavior (Section 8.9) from silently using Dev credentials.</w:t>
      </w:r>
    </w:p>
    <w:p>
      <w:pPr>
        <w:pStyle w:val="Heading3"/>
        <w:spacing w:after="120" w:before="240"/>
      </w:pPr>
      <w:r>
        <w:rPr>
          <w:b/>
          <w:bCs/>
          <w:color w:val="2E5AAC"/>
          <w:sz w:val="22"/>
          <w:szCs w:val="22"/>
        </w:rPr>
        <w:t xml:space="preserve">9.6 Operational Safety</w:t>
      </w:r>
    </w:p>
    <w:p>
      <w:pPr>
        <w:pStyle w:val="ListParagraph"/>
        <w:numPr>
          <w:ilvl w:val="0"/>
          <w:numId w:val="3"/>
        </w:numPr>
        <w:spacing w:after="80" w:line="264"/>
      </w:pPr>
      <w:r>
        <w:rPr>
          <w:sz w:val="21"/>
          <w:szCs w:val="21"/>
        </w:rPr>
        <w:t xml:space="preserve">Concurrency controls: PR-validate runs cancel a superseded run for the same PR (no wasted validate calls); deploy runs queue per-environment and are never cancelled mid-flight (cancel-in-progress: false), preventing a half-applied deployment.</w:t>
      </w:r>
    </w:p>
    <w:p>
      <w:pPr>
        <w:pStyle w:val="ListParagraph"/>
        <w:numPr>
          <w:ilvl w:val="0"/>
          <w:numId w:val="3"/>
        </w:numPr>
        <w:spacing w:after="80" w:line="264"/>
      </w:pPr>
      <w:r>
        <w:rPr>
          <w:sz w:val="21"/>
          <w:szCs w:val="21"/>
        </w:rPr>
        <w:t xml:space="preserve">Every sf command that returns JSON is captured, checked for a non-zero exit code, and its output is printed in full before the job fails — a lesson learned early on, when a swallowed error made an early failure look mysterious until error handling was tightened (Section 8's issues were easier to diagnose specifically because of this pattern).</w:t>
      </w:r>
    </w:p>
    <w:p>
      <w:pPr>
        <w:pStyle w:val="ListParagraph"/>
        <w:numPr>
          <w:ilvl w:val="0"/>
          <w:numId w:val="3"/>
        </w:numPr>
        <w:spacing w:after="80" w:line="264"/>
      </w:pPr>
      <w:r>
        <w:rPr>
          <w:sz w:val="21"/>
          <w:szCs w:val="21"/>
        </w:rPr>
        <w:t xml:space="preserve">actionlint (static analysis for GitHub Actions YAML, including a full shellcheck pass over every run: block) was run against all three workflow files with zero findings before they were committed.</w:t>
      </w:r>
    </w:p>
    <w:p>
      <w:r>
        <w:br w:type="page"/>
      </w:r>
    </w:p>
    <w:p>
      <w:pPr>
        <w:pStyle w:val="Heading1"/>
        <w:pBdr>
          <w:bottom w:val="single" w:color="2E5AAC" w:sz="8" w:space="4"/>
        </w:pBdr>
        <w:spacing w:after="240" w:before="480"/>
      </w:pPr>
      <w:r>
        <w:rPr>
          <w:b/>
          <w:bCs/>
          <w:color w:val="1F3864"/>
          <w:sz w:val="32"/>
          <w:szCs w:val="32"/>
        </w:rPr>
        <w:t xml:space="preserve">10. Verification &amp; Testing Performed</w:t>
      </w:r>
    </w:p>
    <w:p>
      <w:pPr>
        <w:spacing w:after="160" w:line="276"/>
      </w:pPr>
      <w:r>
        <w:rPr>
          <w:sz w:val="21"/>
          <w:szCs w:val="21"/>
        </w:rPr>
        <w:t xml:space="preserve">Nothing in this pipeline was accepted on the strength of “the YAML looks right.” Every meaningful behavior was proven with a real, throwaway pull request against the actual Dev org, then the test artifacts were cleaned up. This section is a log of that testing.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3300"/>
        <w:gridCol w:w="3160"/>
      </w:tblGrid>
      <w:tr>
        <w:trPr>
          <w:tblHeader/>
        </w:trPr>
        <w:tc>
          <w:tcPr>
            <w:tcW w:type="dxa" w:w="2900"/>
            <w:shd w:fill="1F3864" w:val="clear"/>
            <w:tcMar>
              <w:top w:type="dxa" w:w="80"/>
              <w:left w:type="dxa" w:w="100"/>
              <w:bottom w:type="dxa" w:w="80"/>
              <w:right w:type="dxa" w:w="100"/>
            </w:tcMar>
            <w:vAlign w:val="center"/>
          </w:tcPr>
          <w:p>
            <w:r>
              <w:rPr>
                <w:b/>
                <w:bCs/>
                <w:color w:val="FFFFFF"/>
                <w:sz w:val="19"/>
                <w:szCs w:val="19"/>
              </w:rPr>
              <w:t xml:space="preserve">What was tested</w:t>
            </w:r>
          </w:p>
        </w:tc>
        <w:tc>
          <w:tcPr>
            <w:tcW w:type="dxa" w:w="3300"/>
            <w:shd w:fill="1F3864" w:val="clear"/>
            <w:tcMar>
              <w:top w:type="dxa" w:w="80"/>
              <w:left w:type="dxa" w:w="100"/>
              <w:bottom w:type="dxa" w:w="80"/>
              <w:right w:type="dxa" w:w="100"/>
            </w:tcMar>
            <w:vAlign w:val="center"/>
          </w:tcPr>
          <w:p>
            <w:r>
              <w:rPr>
                <w:b/>
                <w:bCs/>
                <w:color w:val="FFFFFF"/>
                <w:sz w:val="19"/>
                <w:szCs w:val="19"/>
              </w:rPr>
              <w:t xml:space="preserve">Method</w:t>
            </w:r>
          </w:p>
        </w:tc>
        <w:tc>
          <w:tcPr>
            <w:tcW w:type="dxa" w:w="3160"/>
            <w:shd w:fill="1F3864" w:val="clear"/>
            <w:tcMar>
              <w:top w:type="dxa" w:w="80"/>
              <w:left w:type="dxa" w:w="100"/>
              <w:bottom w:type="dxa" w:w="80"/>
              <w:right w:type="dxa" w:w="100"/>
            </w:tcMar>
            <w:vAlign w:val="center"/>
          </w:tcPr>
          <w:p>
            <w:r>
              <w:rPr>
                <w:b/>
                <w:bCs/>
                <w:color w:val="FFFFFF"/>
                <w:sz w:val="19"/>
                <w:szCs w:val="19"/>
              </w:rPr>
              <w:t xml:space="preserve">Result</w:t>
            </w:r>
          </w:p>
        </w:tc>
      </w:tr>
      <w:tr>
        <w:tc>
          <w:tcPr>
            <w:tcW w:type="dxa" w:w="2900"/>
            <w:shd w:fill="FFFFFF" w:val="clear"/>
            <w:tcMar>
              <w:top w:type="dxa" w:w="80"/>
              <w:left w:type="dxa" w:w="100"/>
              <w:bottom w:type="dxa" w:w="80"/>
              <w:right w:type="dxa" w:w="100"/>
            </w:tcMar>
            <w:vAlign w:val="center"/>
          </w:tcPr>
          <w:p>
            <w:r>
              <w:rPr>
                <w:sz w:val="19"/>
                <w:szCs w:val="19"/>
              </w:rPr>
              <w:t xml:space="preserve">Proof-of-concept pipeline catches missing test coverage</w:t>
            </w:r>
          </w:p>
        </w:tc>
        <w:tc>
          <w:tcPr>
            <w:tcW w:type="dxa" w:w="3300"/>
            <w:shd w:fill="FFFFFF" w:val="clear"/>
            <w:tcMar>
              <w:top w:type="dxa" w:w="80"/>
              <w:left w:type="dxa" w:w="100"/>
              <w:bottom w:type="dxa" w:w="80"/>
              <w:right w:type="dxa" w:w="100"/>
            </w:tcMar>
            <w:vAlign w:val="center"/>
          </w:tcPr>
          <w:p>
            <w:r>
              <w:rPr>
                <w:sz w:val="19"/>
                <w:szCs w:val="19"/>
              </w:rPr>
              <w:t xml:space="preserve">Opened a real PR with no test class present</w:t>
            </w:r>
          </w:p>
        </w:tc>
        <w:tc>
          <w:tcPr>
            <w:tcW w:type="dxa" w:w="3160"/>
            <w:shd w:fill="FFFFFF" w:val="clear"/>
            <w:tcMar>
              <w:top w:type="dxa" w:w="80"/>
              <w:left w:type="dxa" w:w="100"/>
              <w:bottom w:type="dxa" w:w="80"/>
              <w:right w:type="dxa" w:w="100"/>
            </w:tcMar>
            <w:vAlign w:val="center"/>
          </w:tcPr>
          <w:p>
            <w:r>
              <w:rPr>
                <w:sz w:val="19"/>
                <w:szCs w:val="19"/>
              </w:rPr>
              <w:t xml:space="preserve">Failed correctly: “0% coverage, 75% required”</w:t>
            </w:r>
          </w:p>
        </w:tc>
      </w:tr>
      <w:tr>
        <w:tc>
          <w:tcPr>
            <w:tcW w:type="dxa" w:w="2900"/>
            <w:shd w:fill="F2F2F2" w:val="clear"/>
            <w:tcMar>
              <w:top w:type="dxa" w:w="80"/>
              <w:left w:type="dxa" w:w="100"/>
              <w:bottom w:type="dxa" w:w="80"/>
              <w:right w:type="dxa" w:w="100"/>
            </w:tcMar>
            <w:vAlign w:val="center"/>
          </w:tcPr>
          <w:p>
            <w:r>
              <w:rPr>
                <w:sz w:val="19"/>
                <w:szCs w:val="19"/>
              </w:rPr>
              <w:t xml:space="preserve">Proof-of-concept pipeline allows a fixed PR through</w:t>
            </w:r>
          </w:p>
        </w:tc>
        <w:tc>
          <w:tcPr>
            <w:tcW w:type="dxa" w:w="3300"/>
            <w:shd w:fill="F2F2F2" w:val="clear"/>
            <w:tcMar>
              <w:top w:type="dxa" w:w="80"/>
              <w:left w:type="dxa" w:w="100"/>
              <w:bottom w:type="dxa" w:w="80"/>
              <w:right w:type="dxa" w:w="100"/>
            </w:tcMar>
            <w:vAlign w:val="center"/>
          </w:tcPr>
          <w:p>
            <w:r>
              <w:rPr>
                <w:sz w:val="19"/>
                <w:szCs w:val="19"/>
              </w:rPr>
              <w:t xml:space="preserve">Added JDApexTest, re-ran checks</w:t>
            </w:r>
          </w:p>
        </w:tc>
        <w:tc>
          <w:tcPr>
            <w:tcW w:type="dxa" w:w="3160"/>
            <w:shd w:fill="F2F2F2" w:val="clear"/>
            <w:tcMar>
              <w:top w:type="dxa" w:w="80"/>
              <w:left w:type="dxa" w:w="100"/>
              <w:bottom w:type="dxa" w:w="80"/>
              <w:right w:type="dxa" w:w="100"/>
            </w:tcMar>
            <w:vAlign w:val="center"/>
          </w:tcPr>
          <w:p>
            <w:r>
              <w:rPr>
                <w:sz w:val="19"/>
                <w:szCs w:val="19"/>
              </w:rPr>
              <w:t xml:space="preserve">Both required checks passed; merge succeeded</w:t>
            </w:r>
          </w:p>
        </w:tc>
      </w:tr>
      <w:tr>
        <w:tc>
          <w:tcPr>
            <w:tcW w:type="dxa" w:w="2900"/>
            <w:shd w:fill="FFFFFF" w:val="clear"/>
            <w:tcMar>
              <w:top w:type="dxa" w:w="80"/>
              <w:left w:type="dxa" w:w="100"/>
              <w:bottom w:type="dxa" w:w="80"/>
              <w:right w:type="dxa" w:w="100"/>
            </w:tcMar>
            <w:vAlign w:val="center"/>
          </w:tcPr>
          <w:p>
            <w:r>
              <w:rPr>
                <w:sz w:val="19"/>
                <w:szCs w:val="19"/>
              </w:rPr>
              <w:t xml:space="preserve">Proof-of-concept real deploy actually deploys</w:t>
            </w:r>
          </w:p>
        </w:tc>
        <w:tc>
          <w:tcPr>
            <w:tcW w:type="dxa" w:w="3300"/>
            <w:shd w:fill="FFFFFF" w:val="clear"/>
            <w:tcMar>
              <w:top w:type="dxa" w:w="80"/>
              <w:left w:type="dxa" w:w="100"/>
              <w:bottom w:type="dxa" w:w="80"/>
              <w:right w:type="dxa" w:w="100"/>
            </w:tcMar>
            <w:vAlign w:val="center"/>
          </w:tcPr>
          <w:p>
            <w:r>
              <w:rPr>
                <w:sz w:val="19"/>
                <w:szCs w:val="19"/>
              </w:rPr>
              <w:t xml:space="preserve">Merged OrgSource → OrgDestination</w:t>
            </w:r>
          </w:p>
        </w:tc>
        <w:tc>
          <w:tcPr>
            <w:tcW w:type="dxa" w:w="3160"/>
            <w:shd w:fill="FFFFFF" w:val="clear"/>
            <w:tcMar>
              <w:top w:type="dxa" w:w="80"/>
              <w:left w:type="dxa" w:w="100"/>
              <w:bottom w:type="dxa" w:w="80"/>
              <w:right w:type="dxa" w:w="100"/>
            </w:tcMar>
            <w:vAlign w:val="center"/>
          </w:tcPr>
          <w:p>
            <w:r>
              <w:rPr>
                <w:sz w:val="19"/>
                <w:szCs w:val="19"/>
              </w:rPr>
              <w:t xml:space="preserve">sf project deploy quick succeeded; independently confirmed by running the test directly against DevOrg outside of CI</w:t>
            </w:r>
          </w:p>
        </w:tc>
      </w:tr>
      <w:tr>
        <w:tc>
          <w:tcPr>
            <w:tcW w:type="dxa" w:w="2900"/>
            <w:shd w:fill="F2F2F2" w:val="clear"/>
            <w:tcMar>
              <w:top w:type="dxa" w:w="80"/>
              <w:left w:type="dxa" w:w="100"/>
              <w:bottom w:type="dxa" w:w="80"/>
              <w:right w:type="dxa" w:w="100"/>
            </w:tcMar>
            <w:vAlign w:val="center"/>
          </w:tcPr>
          <w:p>
            <w:r>
              <w:rPr>
                <w:sz w:val="19"/>
                <w:szCs w:val="19"/>
              </w:rPr>
              <w:t xml:space="preserve">Node/IPv6/CLI-flag fixes actually resolve the failures</w:t>
            </w:r>
          </w:p>
        </w:tc>
        <w:tc>
          <w:tcPr>
            <w:tcW w:type="dxa" w:w="3300"/>
            <w:shd w:fill="F2F2F2" w:val="clear"/>
            <w:tcMar>
              <w:top w:type="dxa" w:w="80"/>
              <w:left w:type="dxa" w:w="100"/>
              <w:bottom w:type="dxa" w:w="80"/>
              <w:right w:type="dxa" w:w="100"/>
            </w:tcMar>
            <w:vAlign w:val="center"/>
          </w:tcPr>
          <w:p>
            <w:r>
              <w:rPr>
                <w:sz w:val="19"/>
                <w:szCs w:val="19"/>
              </w:rPr>
              <w:t xml:space="preserve">Re-ran the same workflow after each individual fix</w:t>
            </w:r>
          </w:p>
        </w:tc>
        <w:tc>
          <w:tcPr>
            <w:tcW w:type="dxa" w:w="3160"/>
            <w:shd w:fill="F2F2F2" w:val="clear"/>
            <w:tcMar>
              <w:top w:type="dxa" w:w="80"/>
              <w:left w:type="dxa" w:w="100"/>
              <w:bottom w:type="dxa" w:w="80"/>
              <w:right w:type="dxa" w:w="100"/>
            </w:tcMar>
            <w:vAlign w:val="center"/>
          </w:tcPr>
          <w:p>
            <w:r>
              <w:rPr>
                <w:sz w:val="19"/>
                <w:szCs w:val="19"/>
              </w:rPr>
              <w:t xml:space="preserve">Isolated each fix to its specific failure before moving to the next</w:t>
            </w:r>
          </w:p>
        </w:tc>
      </w:tr>
      <w:tr>
        <w:tc>
          <w:tcPr>
            <w:tcW w:type="dxa" w:w="2900"/>
            <w:shd w:fill="FFFFFF" w:val="clear"/>
            <w:tcMar>
              <w:top w:type="dxa" w:w="80"/>
              <w:left w:type="dxa" w:w="100"/>
              <w:bottom w:type="dxa" w:w="80"/>
              <w:right w:type="dxa" w:w="100"/>
            </w:tcMar>
            <w:vAlign w:val="center"/>
          </w:tcPr>
          <w:p>
            <w:r>
              <w:rPr>
                <w:sz w:val="19"/>
                <w:szCs w:val="19"/>
              </w:rPr>
              <w:t xml:space="preserve">Environment branch-restriction policy compatibility</w:t>
            </w:r>
          </w:p>
        </w:tc>
        <w:tc>
          <w:tcPr>
            <w:tcW w:type="dxa" w:w="3300"/>
            <w:shd w:fill="FFFFFF" w:val="clear"/>
            <w:tcMar>
              <w:top w:type="dxa" w:w="80"/>
              <w:left w:type="dxa" w:w="100"/>
              <w:bottom w:type="dxa" w:w="80"/>
              <w:right w:type="dxa" w:w="100"/>
            </w:tcMar>
            <w:vAlign w:val="center"/>
          </w:tcPr>
          <w:p>
            <w:r>
              <w:rPr>
                <w:sz w:val="19"/>
                <w:szCs w:val="19"/>
              </w:rPr>
              <w:t xml:space="preserve">Opened a throwaway PR into dev while the policy was active</w:t>
            </w:r>
          </w:p>
        </w:tc>
        <w:tc>
          <w:tcPr>
            <w:tcW w:type="dxa" w:w="3160"/>
            <w:shd w:fill="FFFFFF" w:val="clear"/>
            <w:tcMar>
              <w:top w:type="dxa" w:w="80"/>
              <w:left w:type="dxa" w:w="100"/>
              <w:bottom w:type="dxa" w:w="80"/>
              <w:right w:type="dxa" w:w="100"/>
            </w:tcMar>
            <w:vAlign w:val="center"/>
          </w:tcPr>
          <w:p>
            <w:r>
              <w:rPr>
                <w:sz w:val="19"/>
                <w:szCs w:val="19"/>
              </w:rPr>
              <w:t xml:space="preserve">Job never started (0 steps) — confirmed the incompatibility, then reverted the policy and re-tested successfully</w:t>
            </w:r>
          </w:p>
        </w:tc>
      </w:tr>
      <w:tr>
        <w:tc>
          <w:tcPr>
            <w:tcW w:type="dxa" w:w="2900"/>
            <w:shd w:fill="F2F2F2" w:val="clear"/>
            <w:tcMar>
              <w:top w:type="dxa" w:w="80"/>
              <w:left w:type="dxa" w:w="100"/>
              <w:bottom w:type="dxa" w:w="80"/>
              <w:right w:type="dxa" w:w="100"/>
            </w:tcMar>
            <w:vAlign w:val="center"/>
          </w:tcPr>
          <w:p>
            <w:r>
              <w:rPr>
                <w:sz w:val="19"/>
                <w:szCs w:val="19"/>
              </w:rPr>
              <w:t xml:space="preserve">NoTestRun rejected by validate</w:t>
            </w:r>
          </w:p>
        </w:tc>
        <w:tc>
          <w:tcPr>
            <w:tcW w:type="dxa" w:w="3300"/>
            <w:shd w:fill="F2F2F2" w:val="clear"/>
            <w:tcMar>
              <w:top w:type="dxa" w:w="80"/>
              <w:left w:type="dxa" w:w="100"/>
              <w:bottom w:type="dxa" w:w="80"/>
              <w:right w:type="dxa" w:w="100"/>
            </w:tcMar>
            <w:vAlign w:val="center"/>
          </w:tcPr>
          <w:p>
            <w:r>
              <w:rPr>
                <w:sz w:val="19"/>
                <w:szCs w:val="19"/>
              </w:rPr>
              <w:t xml:space="preserve">Opened a throwaway PR into dev with the old (incorrect) NoTestRun-everywhere logic</w:t>
            </w:r>
          </w:p>
        </w:tc>
        <w:tc>
          <w:tcPr>
            <w:tcW w:type="dxa" w:w="3160"/>
            <w:shd w:fill="F2F2F2" w:val="clear"/>
            <w:tcMar>
              <w:top w:type="dxa" w:w="80"/>
              <w:left w:type="dxa" w:w="100"/>
              <w:bottom w:type="dxa" w:w="80"/>
              <w:right w:type="dxa" w:w="100"/>
            </w:tcMar>
            <w:vAlign w:val="center"/>
          </w:tcPr>
          <w:p>
            <w:r>
              <w:rPr>
                <w:sz w:val="19"/>
                <w:szCs w:val="19"/>
              </w:rPr>
              <w:t xml:space="preserve">Failed immediately with the CLI's own explicit rejection message — redesigned per Section 6.2</w:t>
            </w:r>
          </w:p>
        </w:tc>
      </w:tr>
      <w:tr>
        <w:tc>
          <w:tcPr>
            <w:tcW w:type="dxa" w:w="2900"/>
            <w:shd w:fill="FFFFFF" w:val="clear"/>
            <w:tcMar>
              <w:top w:type="dxa" w:w="80"/>
              <w:left w:type="dxa" w:w="100"/>
              <w:bottom w:type="dxa" w:w="80"/>
              <w:right w:type="dxa" w:w="100"/>
            </w:tcMar>
            <w:vAlign w:val="center"/>
          </w:tcPr>
          <w:p>
            <w:r>
              <w:rPr>
                <w:sz w:val="19"/>
                <w:szCs w:val="19"/>
              </w:rPr>
              <w:t xml:space="preserve">Fixed test-level logic (RunLocalTests in validate, NoTestRun reserved for real deploy)</w:t>
            </w:r>
          </w:p>
        </w:tc>
        <w:tc>
          <w:tcPr>
            <w:tcW w:type="dxa" w:w="3300"/>
            <w:shd w:fill="FFFFFF" w:val="clear"/>
            <w:tcMar>
              <w:top w:type="dxa" w:w="80"/>
              <w:left w:type="dxa" w:w="100"/>
              <w:bottom w:type="dxa" w:w="80"/>
              <w:right w:type="dxa" w:w="100"/>
            </w:tcMar>
            <w:vAlign w:val="center"/>
          </w:tcPr>
          <w:p>
            <w:r>
              <w:rPr>
                <w:sz w:val="19"/>
                <w:szCs w:val="19"/>
              </w:rPr>
              <w:t xml:space="preserve">Re-ran the corrected workflow on a fresh test PR into dev</w:t>
            </w:r>
          </w:p>
        </w:tc>
        <w:tc>
          <w:tcPr>
            <w:tcW w:type="dxa" w:w="3160"/>
            <w:shd w:fill="FFFFFF" w:val="clear"/>
            <w:tcMar>
              <w:top w:type="dxa" w:w="80"/>
              <w:left w:type="dxa" w:w="100"/>
              <w:bottom w:type="dxa" w:w="80"/>
              <w:right w:type="dxa" w:w="100"/>
            </w:tcMar>
            <w:vAlign w:val="center"/>
          </w:tcPr>
          <w:p>
            <w:r>
              <w:rPr>
                <w:sz w:val="19"/>
                <w:szCs w:val="19"/>
              </w:rPr>
              <w:t xml:space="preserve">validate passed cleanly</w:t>
            </w:r>
          </w:p>
        </w:tc>
      </w:tr>
      <w:tr>
        <w:tc>
          <w:tcPr>
            <w:tcW w:type="dxa" w:w="2900"/>
            <w:shd w:fill="F2F2F2" w:val="clear"/>
            <w:tcMar>
              <w:top w:type="dxa" w:w="80"/>
              <w:left w:type="dxa" w:w="100"/>
              <w:bottom w:type="dxa" w:w="80"/>
              <w:right w:type="dxa" w:w="100"/>
            </w:tcMar>
            <w:vAlign w:val="center"/>
          </w:tcPr>
          <w:p>
            <w:r>
              <w:rPr>
                <w:sz w:val="19"/>
                <w:szCs w:val="19"/>
              </w:rPr>
              <w:t xml:space="preserve">Approval gate is enforced independently of check status</w:t>
            </w:r>
          </w:p>
        </w:tc>
        <w:tc>
          <w:tcPr>
            <w:tcW w:type="dxa" w:w="3300"/>
            <w:shd w:fill="F2F2F2" w:val="clear"/>
            <w:tcMar>
              <w:top w:type="dxa" w:w="80"/>
              <w:left w:type="dxa" w:w="100"/>
              <w:bottom w:type="dxa" w:w="80"/>
              <w:right w:type="dxa" w:w="100"/>
            </w:tcMar>
            <w:vAlign w:val="center"/>
          </w:tcPr>
          <w:p>
            <w:r>
              <w:rPr>
                <w:sz w:val="19"/>
                <w:szCs w:val="19"/>
              </w:rPr>
              <w:t xml:space="preserve">Same test PR — both checks green</w:t>
            </w:r>
          </w:p>
        </w:tc>
        <w:tc>
          <w:tcPr>
            <w:tcW w:type="dxa" w:w="3160"/>
            <w:shd w:fill="F2F2F2" w:val="clear"/>
            <w:tcMar>
              <w:top w:type="dxa" w:w="80"/>
              <w:left w:type="dxa" w:w="100"/>
              <w:bottom w:type="dxa" w:w="80"/>
              <w:right w:type="dxa" w:w="100"/>
            </w:tcMar>
            <w:vAlign w:val="center"/>
          </w:tcPr>
          <w:p>
            <w:r>
              <w:rPr>
                <w:sz w:val="19"/>
                <w:szCs w:val="19"/>
              </w:rPr>
              <w:t xml:space="preserve">mergeStateStatus: BLOCKED, reviewDecision: REVIEW_REQUIRED confirmed via the GitHub API</w:t>
            </w:r>
          </w:p>
        </w:tc>
      </w:tr>
    </w:tbl>
    <w:p>
      <w:pPr>
        <w:spacing w:after="160" w:line="276"/>
      </w:pPr>
      <w:r>
        <w:rPr>
          <w:sz w:val="21"/>
          <w:szCs w:val="21"/>
        </w:rPr>
        <w:t xml:space="preserve"/>
      </w:r>
    </w:p>
    <w:p>
      <w:pPr>
        <w:spacing w:after="160" w:line="276"/>
      </w:pPr>
      <w:r>
        <w:rPr>
          <w:sz w:val="21"/>
          <w:szCs w:val="21"/>
        </w:rPr>
        <w:t xml:space="preserve">All throwaway test branches and pull requests created during this process were closed/deleted after they served their purpose; none were merged into any active branch.</w:t>
      </w:r>
    </w:p>
    <w:p>
      <w:pPr>
        <w:pStyle w:val="Heading1"/>
        <w:pBdr>
          <w:bottom w:val="single" w:color="2E5AAC" w:sz="8" w:space="4"/>
        </w:pBdr>
        <w:spacing w:after="240" w:before="480"/>
      </w:pPr>
      <w:r>
        <w:rPr>
          <w:b/>
          <w:bCs/>
          <w:color w:val="1F3864"/>
          <w:sz w:val="32"/>
          <w:szCs w:val="32"/>
        </w:rPr>
        <w:t xml:space="preserve">11. Current Status Summary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6660"/>
      </w:tblGrid>
      <w:tr>
        <w:trPr>
          <w:tblHeader/>
        </w:trPr>
        <w:tc>
          <w:tcPr>
            <w:tcW w:type="dxa" w:w="2700"/>
            <w:shd w:fill="1F3864" w:val="clear"/>
            <w:tcMar>
              <w:top w:type="dxa" w:w="80"/>
              <w:left w:type="dxa" w:w="100"/>
              <w:bottom w:type="dxa" w:w="80"/>
              <w:right w:type="dxa" w:w="100"/>
            </w:tcMar>
            <w:vAlign w:val="center"/>
          </w:tcPr>
          <w:p>
            <w:r>
              <w:rPr>
                <w:b/>
                <w:bCs/>
                <w:color w:val="FFFFFF"/>
                <w:sz w:val="19"/>
                <w:szCs w:val="19"/>
              </w:rPr>
              <w:t xml:space="preserve">Item</w:t>
            </w:r>
          </w:p>
        </w:tc>
        <w:tc>
          <w:tcPr>
            <w:tcW w:type="dxa" w:w="6660"/>
            <w:shd w:fill="1F3864" w:val="clear"/>
            <w:tcMar>
              <w:top w:type="dxa" w:w="80"/>
              <w:left w:type="dxa" w:w="100"/>
              <w:bottom w:type="dxa" w:w="80"/>
              <w:right w:type="dxa" w:w="100"/>
            </w:tcMar>
            <w:vAlign w:val="center"/>
          </w:tcPr>
          <w:p>
            <w:r>
              <w:rPr>
                <w:b/>
                <w:bCs/>
                <w:color w:val="FFFFFF"/>
                <w:sz w:val="19"/>
                <w:szCs w:val="19"/>
              </w:rPr>
              <w:t xml:space="preserve">Status</w:t>
            </w:r>
          </w:p>
        </w:tc>
      </w:tr>
      <w:tr>
        <w:tc>
          <w:tcPr>
            <w:tcW w:type="dxa" w:w="2700"/>
            <w:shd w:fill="FFFFFF" w:val="clear"/>
            <w:tcMar>
              <w:top w:type="dxa" w:w="80"/>
              <w:left w:type="dxa" w:w="100"/>
              <w:bottom w:type="dxa" w:w="80"/>
              <w:right w:type="dxa" w:w="100"/>
            </w:tcMar>
            <w:vAlign w:val="center"/>
          </w:tcPr>
          <w:p>
            <w:r>
              <w:rPr>
                <w:sz w:val="19"/>
                <w:szCs w:val="19"/>
              </w:rPr>
              <w:t xml:space="preserve">Repository</w:t>
            </w:r>
          </w:p>
        </w:tc>
        <w:tc>
          <w:tcPr>
            <w:tcW w:type="dxa" w:w="6660"/>
            <w:shd w:fill="FFFFFF" w:val="clear"/>
            <w:tcMar>
              <w:top w:type="dxa" w:w="80"/>
              <w:left w:type="dxa" w:w="100"/>
              <w:bottom w:type="dxa" w:w="80"/>
              <w:right w:type="dxa" w:w="100"/>
            </w:tcMar>
            <w:vAlign w:val="center"/>
          </w:tcPr>
          <w:p>
            <w:r>
              <w:rPr>
                <w:sz w:val="19"/>
                <w:szCs w:val="19"/>
              </w:rPr>
              <w:t xml:space="preserve">Public — github.com/jagadeesh-dereddy/salesforce-org. Default branch: master.</w:t>
            </w:r>
          </w:p>
        </w:tc>
      </w:tr>
      <w:tr>
        <w:tc>
          <w:tcPr>
            <w:tcW w:type="dxa" w:w="2700"/>
            <w:shd w:fill="F2F2F2" w:val="clear"/>
            <w:tcMar>
              <w:top w:type="dxa" w:w="80"/>
              <w:left w:type="dxa" w:w="100"/>
              <w:bottom w:type="dxa" w:w="80"/>
              <w:right w:type="dxa" w:w="100"/>
            </w:tcMar>
            <w:vAlign w:val="center"/>
          </w:tcPr>
          <w:p>
            <w:r>
              <w:rPr>
                <w:sz w:val="19"/>
                <w:szCs w:val="19"/>
              </w:rPr>
              <w:t xml:space="preserve">Active branches</w:t>
            </w:r>
          </w:p>
        </w:tc>
        <w:tc>
          <w:tcPr>
            <w:tcW w:type="dxa" w:w="6660"/>
            <w:shd w:fill="F2F2F2" w:val="clear"/>
            <w:tcMar>
              <w:top w:type="dxa" w:w="80"/>
              <w:left w:type="dxa" w:w="100"/>
              <w:bottom w:type="dxa" w:w="80"/>
              <w:right w:type="dxa" w:w="100"/>
            </w:tcMar>
            <w:vAlign w:val="center"/>
          </w:tcPr>
          <w:p>
            <w:r>
              <w:rPr>
                <w:sz w:val="19"/>
                <w:szCs w:val="19"/>
              </w:rPr>
              <w:t xml:space="preserve">dev, qa, uat, release, master (all protected)</w:t>
            </w:r>
          </w:p>
        </w:tc>
      </w:tr>
      <w:tr>
        <w:tc>
          <w:tcPr>
            <w:tcW w:type="dxa" w:w="2700"/>
            <w:shd w:fill="FFFFFF" w:val="clear"/>
            <w:tcMar>
              <w:top w:type="dxa" w:w="80"/>
              <w:left w:type="dxa" w:w="100"/>
              <w:bottom w:type="dxa" w:w="80"/>
              <w:right w:type="dxa" w:w="100"/>
            </w:tcMar>
            <w:vAlign w:val="center"/>
          </w:tcPr>
          <w:p>
            <w:r>
              <w:rPr>
                <w:sz w:val="19"/>
                <w:szCs w:val="19"/>
              </w:rPr>
              <w:t xml:space="preserve">Reference-only branches</w:t>
            </w:r>
          </w:p>
        </w:tc>
        <w:tc>
          <w:tcPr>
            <w:tcW w:type="dxa" w:w="6660"/>
            <w:shd w:fill="FFFFFF" w:val="clear"/>
            <w:tcMar>
              <w:top w:type="dxa" w:w="80"/>
              <w:left w:type="dxa" w:w="100"/>
              <w:bottom w:type="dxa" w:w="80"/>
              <w:right w:type="dxa" w:w="100"/>
            </w:tcMar>
            <w:vAlign w:val="center"/>
          </w:tcPr>
          <w:p>
            <w:r>
              <w:rPr>
                <w:sz w:val="19"/>
                <w:szCs w:val="19"/>
              </w:rPr>
              <w:t xml:space="preserve">OrgSource, OrgDestination (proof of concept, kept for reference), main (pre-multi-environment baseline)</w:t>
            </w:r>
          </w:p>
        </w:tc>
      </w:tr>
      <w:tr>
        <w:tc>
          <w:tcPr>
            <w:tcW w:type="dxa" w:w="2700"/>
            <w:shd w:fill="F2F2F2" w:val="clear"/>
            <w:tcMar>
              <w:top w:type="dxa" w:w="80"/>
              <w:left w:type="dxa" w:w="100"/>
              <w:bottom w:type="dxa" w:w="80"/>
              <w:right w:type="dxa" w:w="100"/>
            </w:tcMar>
            <w:vAlign w:val="center"/>
          </w:tcPr>
          <w:p>
            <w:r>
              <w:rPr>
                <w:sz w:val="19"/>
                <w:szCs w:val="19"/>
              </w:rPr>
              <w:t xml:space="preserve">Workflows</w:t>
            </w:r>
          </w:p>
        </w:tc>
        <w:tc>
          <w:tcPr>
            <w:tcW w:type="dxa" w:w="6660"/>
            <w:shd w:fill="F2F2F2" w:val="clear"/>
            <w:tcMar>
              <w:top w:type="dxa" w:w="80"/>
              <w:left w:type="dxa" w:w="100"/>
              <w:bottom w:type="dxa" w:w="80"/>
              <w:right w:type="dxa" w:w="100"/>
            </w:tcMar>
            <w:vAlign w:val="center"/>
          </w:tcPr>
          <w:p>
            <w:r>
              <w:rPr>
                <w:sz w:val="19"/>
                <w:szCs w:val="19"/>
              </w:rPr>
              <w:t xml:space="preserve">pmd-analysis.yml, pr-validate.yml, deploy-destination.yml — all passing actionlint with zero findings</w:t>
            </w:r>
          </w:p>
        </w:tc>
      </w:tr>
      <w:tr>
        <w:tc>
          <w:tcPr>
            <w:tcW w:type="dxa" w:w="2700"/>
            <w:shd w:fill="FFFFFF" w:val="clear"/>
            <w:tcMar>
              <w:top w:type="dxa" w:w="80"/>
              <w:left w:type="dxa" w:w="100"/>
              <w:bottom w:type="dxa" w:w="80"/>
              <w:right w:type="dxa" w:w="100"/>
            </w:tcMar>
            <w:vAlign w:val="center"/>
          </w:tcPr>
          <w:p>
            <w:r>
              <w:rPr>
                <w:sz w:val="19"/>
                <w:szCs w:val="19"/>
              </w:rPr>
              <w:t xml:space="preserve">Dev environment</w:t>
            </w:r>
          </w:p>
        </w:tc>
        <w:tc>
          <w:tcPr>
            <w:tcW w:type="dxa" w:w="6660"/>
            <w:shd w:fill="FFFFFF" w:val="clear"/>
            <w:tcMar>
              <w:top w:type="dxa" w:w="80"/>
              <w:left w:type="dxa" w:w="100"/>
              <w:bottom w:type="dxa" w:w="80"/>
              <w:right w:type="dxa" w:w="100"/>
            </w:tcMar>
            <w:vAlign w:val="center"/>
          </w:tcPr>
          <w:p>
            <w:r>
              <w:rPr>
                <w:sz w:val="19"/>
                <w:szCs w:val="19"/>
              </w:rPr>
              <w:t xml:space="preserve">Fully linked to a real org (DevOrg) and verified working end-to-end, including a real deployment</w:t>
            </w:r>
          </w:p>
        </w:tc>
      </w:tr>
      <w:tr>
        <w:tc>
          <w:tcPr>
            <w:tcW w:type="dxa" w:w="2700"/>
            <w:shd w:fill="F2F2F2" w:val="clear"/>
            <w:tcMar>
              <w:top w:type="dxa" w:w="80"/>
              <w:left w:type="dxa" w:w="100"/>
              <w:bottom w:type="dxa" w:w="80"/>
              <w:right w:type="dxa" w:w="100"/>
            </w:tcMar>
            <w:vAlign w:val="center"/>
          </w:tcPr>
          <w:p>
            <w:r>
              <w:rPr>
                <w:sz w:val="19"/>
                <w:szCs w:val="19"/>
              </w:rPr>
              <w:t xml:space="preserve">QA / UAT / Production environments</w:t>
            </w:r>
          </w:p>
        </w:tc>
        <w:tc>
          <w:tcPr>
            <w:tcW w:type="dxa" w:w="6660"/>
            <w:shd w:fill="F2F2F2" w:val="clear"/>
            <w:tcMar>
              <w:top w:type="dxa" w:w="80"/>
              <w:left w:type="dxa" w:w="100"/>
              <w:bottom w:type="dxa" w:w="80"/>
              <w:right w:type="dxa" w:w="100"/>
            </w:tcMar>
            <w:vAlign w:val="center"/>
          </w:tcPr>
          <w:p>
            <w:r>
              <w:rPr>
                <w:sz w:val="19"/>
                <w:szCs w:val="19"/>
              </w:rPr>
              <w:t xml:space="preserve">Structurally complete (GitHub Environments, secrets slots, required reviewers on UAT/Production, branch protection) but using placeholder credentials — not yet linked to real Salesforce orgs</w:t>
            </w:r>
          </w:p>
        </w:tc>
      </w:tr>
      <w:tr>
        <w:tc>
          <w:tcPr>
            <w:tcW w:type="dxa" w:w="2700"/>
            <w:shd w:fill="FFFFFF" w:val="clear"/>
            <w:tcMar>
              <w:top w:type="dxa" w:w="80"/>
              <w:left w:type="dxa" w:w="100"/>
              <w:bottom w:type="dxa" w:w="80"/>
              <w:right w:type="dxa" w:w="100"/>
            </w:tcMar>
            <w:vAlign w:val="center"/>
          </w:tcPr>
          <w:p>
            <w:r>
              <w:rPr>
                <w:sz w:val="19"/>
                <w:szCs w:val="19"/>
              </w:rPr>
              <w:t xml:space="preserve">Branch protection</w:t>
            </w:r>
          </w:p>
        </w:tc>
        <w:tc>
          <w:tcPr>
            <w:tcW w:type="dxa" w:w="6660"/>
            <w:shd w:fill="FFFFFF" w:val="clear"/>
            <w:tcMar>
              <w:top w:type="dxa" w:w="80"/>
              <w:left w:type="dxa" w:w="100"/>
              <w:bottom w:type="dxa" w:w="80"/>
              <w:right w:type="dxa" w:w="100"/>
            </w:tcMar>
            <w:vAlign w:val="center"/>
          </w:tcPr>
          <w:p>
            <w:r>
              <w:rPr>
                <w:sz w:val="19"/>
                <w:szCs w:val="19"/>
              </w:rPr>
              <w:t xml:space="preserve">1 approval on dev/qa/uat, 2 on release/master; both pmd and validate required as status checks on all five; dismiss_stale_reviews and require_last_push_approval enabled everywhere</w:t>
            </w:r>
          </w:p>
        </w:tc>
      </w:tr>
    </w:tbl>
    <w:p>
      <w:pPr>
        <w:pStyle w:val="Heading1"/>
        <w:pBdr>
          <w:bottom w:val="single" w:color="2E5AAC" w:sz="8" w:space="4"/>
        </w:pBdr>
        <w:spacing w:after="240" w:before="480"/>
      </w:pPr>
      <w:r>
        <w:rPr>
          <w:b/>
          <w:bCs/>
          <w:color w:val="1F3864"/>
          <w:sz w:val="32"/>
          <w:szCs w:val="32"/>
        </w:rPr>
        <w:t xml:space="preserve">12. Outstanding Items &amp; Next Steps</w:t>
      </w:r>
    </w:p>
    <w:p>
      <w:pPr>
        <w:spacing w:after="160" w:line="276"/>
      </w:pPr>
      <w:r>
        <w:rPr>
          <w:sz w:val="21"/>
          <w:szCs w:val="21"/>
        </w:rPr>
        <w:t xml:space="preserve">What remains before this pipeline is fully live across all four environments:</w:t>
      </w:r>
    </w:p>
    <w:p>
      <w:pPr>
        <w:pStyle w:val="ListParagraph"/>
        <w:numPr>
          <w:ilvl w:val="0"/>
          <w:numId w:val="2"/>
        </w:numPr>
        <w:spacing w:after="80" w:line="264"/>
      </w:pPr>
      <w:r>
        <w:rPr>
          <w:sz w:val="21"/>
          <w:szCs w:val="21"/>
        </w:rPr>
        <w:t xml:space="preserve">Create a Connected App (JWT, digital signature) in each of the real QA, UAT, and Production orgs — following the same process as Section 4, but with OAuth scope narrowed below “Full access” per the recommendation in Section 4.3 / 9.2.</w:t>
      </w:r>
    </w:p>
    <w:p>
      <w:pPr>
        <w:pStyle w:val="ListParagraph"/>
        <w:numPr>
          <w:ilvl w:val="0"/>
          <w:numId w:val="2"/>
        </w:numPr>
        <w:spacing w:after="80" w:line="264"/>
      </w:pPr>
      <w:r>
        <w:rPr>
          <w:sz w:val="21"/>
          <w:szCs w:val="21"/>
        </w:rPr>
        <w:t xml:space="preserve">Replace the placeholder secrets on the qa, uat, and production GitHub Environments with the real SF_CLIENT_ID, SF_USERNAME, SF_INSTANCE_URL, and SF_JWT_KEY values for each org.</w:t>
      </w:r>
    </w:p>
    <w:p>
      <w:pPr>
        <w:pStyle w:val="ListParagraph"/>
        <w:numPr>
          <w:ilvl w:val="0"/>
          <w:numId w:val="2"/>
        </w:numPr>
        <w:spacing w:after="80" w:line="264"/>
      </w:pPr>
      <w:r>
        <w:rPr>
          <w:sz w:val="21"/>
          <w:szCs w:val="21"/>
        </w:rPr>
        <w:t xml:space="preserve">Optionally set SF_EXPECTED_ORG_ID on each environment (the org's 15/18-character Org ID) to enable the misconfiguration guard described in Section 9.5.</w:t>
      </w:r>
    </w:p>
    <w:p>
      <w:pPr>
        <w:pStyle w:val="ListParagraph"/>
        <w:numPr>
          <w:ilvl w:val="0"/>
          <w:numId w:val="2"/>
        </w:numPr>
        <w:spacing w:after="80" w:line="264"/>
      </w:pPr>
      <w:r>
        <w:rPr>
          <w:sz w:val="21"/>
          <w:szCs w:val="21"/>
        </w:rPr>
        <w:t xml:space="preserve">Confirm the actual reviewer(s) required on the uat and production GitHub Environments reflect who should really approve those deployments in the live process (currently set to the repository owner as a placeholder).</w:t>
      </w:r>
    </w:p>
    <w:p>
      <w:pPr>
        <w:pStyle w:val="ListParagraph"/>
        <w:numPr>
          <w:ilvl w:val="0"/>
          <w:numId w:val="2"/>
        </w:numPr>
        <w:spacing w:after="80" w:line="264"/>
      </w:pPr>
      <w:r>
        <w:rPr>
          <w:sz w:val="21"/>
          <w:szCs w:val="21"/>
        </w:rPr>
        <w:t xml:space="preserve">Decide the disposition of the OrgSource / OrgDestination proof-of-concept branches once the team is comfortable — currently kept as-is at the team's request.</w:t>
      </w:r>
    </w:p>
    <w:p>
      <w:pPr>
        <w:pStyle w:val="ListParagraph"/>
        <w:numPr>
          <w:ilvl w:val="0"/>
          <w:numId w:val="2"/>
        </w:numPr>
        <w:spacing w:after="80" w:line="264"/>
      </w:pPr>
      <w:r>
        <w:rPr>
          <w:sz w:val="21"/>
          <w:szCs w:val="21"/>
        </w:rPr>
        <w:t xml:space="preserve">Consider expanding the PMD ruleset (config/ruleset.xml) beyond the current three rules as the team agrees on additional Apex standards.</w:t>
      </w:r>
    </w:p>
    <w:p>
      <w:pPr>
        <w:spacing w:after="160" w:line="276"/>
      </w:pPr>
      <w:r>
        <w:rPr>
          <w:sz w:val="21"/>
          <w:szCs w:val="21"/>
        </w:rPr>
        <w:t xml:space="preserve"/>
      </w:r>
    </w:p>
    <w:p>
      <w:pPr>
        <w:spacing w:after="160" w:line="276"/>
      </w:pPr>
      <w:r>
        <w:rPr>
          <w:sz w:val="21"/>
          <w:szCs w:val="21"/>
        </w:rPr>
        <w:t xml:space="preserve">Reference commands for adding a real environment's secrets once its Connected App exists:</w:t>
      </w:r>
    </w:p>
    <w:p>
      <w:pPr>
        <w:spacing w:after="0"/>
      </w:pPr>
    </w:p>
    <w:p>
      <w:pPr>
        <w:pBdr>
          <w:left w:val="single" w:color="BFBFBF" w:sz="12"/>
        </w:pBdr>
        <w:shd w:fill="F5F5F5" w:val="clear"/>
        <w:spacing w:after="0" w:line="240"/>
        <w:ind w:left="120"/>
      </w:pPr>
      <w:r>
        <w:rPr>
          <w:rFonts w:ascii="Consolas" w:cs="Consolas" w:eastAsia="Consolas" w:hAnsi="Consolas"/>
          <w:color w:val="1A1A1A"/>
          <w:sz w:val="15"/>
          <w:szCs w:val="15"/>
        </w:rPr>
        <w:t xml:space="preserve">gh secret set SF_CLIENT_ID --env qa --repo jagadeesh-dereddy/salesforce-org</w:t>
      </w:r>
    </w:p>
    <w:p>
      <w:pPr>
        <w:pBdr>
          <w:left w:val="single" w:color="BFBFBF" w:sz="12"/>
        </w:pBdr>
        <w:shd w:fill="F5F5F5" w:val="clear"/>
        <w:spacing w:after="0" w:line="240"/>
        <w:ind w:left="120"/>
      </w:pPr>
      <w:r>
        <w:rPr>
          <w:rFonts w:ascii="Consolas" w:cs="Consolas" w:eastAsia="Consolas" w:hAnsi="Consolas"/>
          <w:color w:val="1A1A1A"/>
          <w:sz w:val="15"/>
          <w:szCs w:val="15"/>
        </w:rPr>
        <w:t xml:space="preserve">gh secret set SF_USERNAME --env qa --repo jagadeesh-dereddy/salesforce-org</w:t>
      </w:r>
    </w:p>
    <w:p>
      <w:pPr>
        <w:pBdr>
          <w:left w:val="single" w:color="BFBFBF" w:sz="12"/>
        </w:pBdr>
        <w:shd w:fill="F5F5F5" w:val="clear"/>
        <w:spacing w:after="0" w:line="240"/>
        <w:ind w:left="120"/>
      </w:pPr>
      <w:r>
        <w:rPr>
          <w:rFonts w:ascii="Consolas" w:cs="Consolas" w:eastAsia="Consolas" w:hAnsi="Consolas"/>
          <w:color w:val="1A1A1A"/>
          <w:sz w:val="15"/>
          <w:szCs w:val="15"/>
        </w:rPr>
        <w:t xml:space="preserve">gh secret set SF_INSTANCE_URL --env qa --repo jagadeesh-dereddy/salesforce-org</w:t>
      </w:r>
    </w:p>
    <w:p>
      <w:pPr>
        <w:pBdr>
          <w:left w:val="single" w:color="BFBFBF" w:sz="12"/>
        </w:pBdr>
        <w:shd w:fill="F5F5F5" w:val="clear"/>
        <w:spacing w:after="0" w:line="240"/>
        <w:ind w:left="120"/>
      </w:pPr>
      <w:r>
        <w:rPr>
          <w:rFonts w:ascii="Consolas" w:cs="Consolas" w:eastAsia="Consolas" w:hAnsi="Consolas"/>
          <w:color w:val="1A1A1A"/>
          <w:sz w:val="15"/>
          <w:szCs w:val="15"/>
        </w:rPr>
        <w:t xml:space="preserve">gh secret set SF_JWT_KEY --env qa --repo jagadeesh-dereddy/salesforce-org</w:t>
      </w:r>
    </w:p>
    <w:p>
      <w:pPr>
        <w:pBdr>
          <w:left w:val="single" w:color="BFBFBF" w:sz="12"/>
        </w:pBdr>
        <w:shd w:fill="F5F5F5" w:val="clear"/>
        <w:spacing w:after="0" w:line="240"/>
        <w:ind w:left="120"/>
      </w:pPr>
      <w:r>
        <w:rPr>
          <w:rFonts w:ascii="Consolas" w:cs="Consolas" w:eastAsia="Consolas" w:hAnsi="Consolas"/>
          <w:color w:val="1A1A1A"/>
          <w:sz w:val="15"/>
          <w:szCs w:val="15"/>
        </w:rPr>
        <w:t xml:space="preserve"># repeat for --env uat and --env production</w:t>
      </w:r>
    </w:p>
    <w:p>
      <w:pPr>
        <w:spacing w:after="160"/>
      </w:pPr>
    </w:p>
    <w:p>
      <w:r>
        <w:br w:type="page"/>
      </w:r>
    </w:p>
    <w:p>
      <w:pPr>
        <w:pStyle w:val="Heading1"/>
        <w:pBdr>
          <w:bottom w:val="single" w:color="2E5AAC" w:sz="8" w:space="4"/>
        </w:pBdr>
        <w:spacing w:after="240" w:before="480"/>
      </w:pPr>
      <w:r>
        <w:rPr>
          <w:b/>
          <w:bCs/>
          <w:color w:val="1F3864"/>
          <w:sz w:val="32"/>
          <w:szCs w:val="32"/>
        </w:rPr>
        <w:t xml:space="preserve">13. Glossary</w:t>
      </w:r>
    </w:p>
    <w:p>
      <w:pPr>
        <w:spacing w:after="140" w:line="264"/>
      </w:pPr>
      <w:r>
        <w:rPr>
          <w:b/>
          <w:bCs/>
          <w:color w:val="1F3864"/>
          <w:sz w:val="21"/>
          <w:szCs w:val="21"/>
        </w:rPr>
        <w:t xml:space="preserve">Delta package:  </w:t>
      </w:r>
      <w:r>
        <w:rPr>
          <w:sz w:val="21"/>
          <w:szCs w:val="21"/>
        </w:rPr>
        <w:t xml:space="preserve">A package.xml containing only the metadata components that changed between two git commits, generated by the sfdx-git-delta plugin, so a deploy/validate only touches what actually changed.</w:t>
      </w:r>
    </w:p>
    <w:p>
      <w:pPr>
        <w:spacing w:after="140" w:line="264"/>
      </w:pPr>
      <w:r>
        <w:rPr>
          <w:b/>
          <w:bCs/>
          <w:color w:val="1F3864"/>
          <w:sz w:val="21"/>
          <w:szCs w:val="21"/>
        </w:rPr>
        <w:t xml:space="preserve">JWT Bearer Flow:  </w:t>
      </w:r>
      <w:r>
        <w:rPr>
          <w:sz w:val="21"/>
          <w:szCs w:val="21"/>
        </w:rPr>
        <w:t xml:space="preserve">An OAuth 2.0 flow that lets a Connected App authenticate to Salesforce non-interactively using a signed token and a private key, instead of a username/password/browser login. Required for CI systems like GitHub Actions.</w:t>
      </w:r>
    </w:p>
    <w:p>
      <w:pPr>
        <w:spacing w:after="140" w:line="264"/>
      </w:pPr>
      <w:r>
        <w:rPr>
          <w:b/>
          <w:bCs/>
          <w:color w:val="1F3864"/>
          <w:sz w:val="21"/>
          <w:szCs w:val="21"/>
        </w:rPr>
        <w:t xml:space="preserve">Merge gate:  </w:t>
      </w:r>
      <w:r>
        <w:rPr>
          <w:sz w:val="21"/>
          <w:szCs w:val="21"/>
        </w:rPr>
        <w:t xml:space="preserve">An automated check that must pass before a pull request is allowed to merge — in this pipeline, PMD static analysis plus a Salesforce validate (dry run).</w:t>
      </w:r>
    </w:p>
    <w:p>
      <w:pPr>
        <w:spacing w:after="140" w:line="264"/>
      </w:pPr>
      <w:r>
        <w:rPr>
          <w:b/>
          <w:bCs/>
          <w:color w:val="1F3864"/>
          <w:sz w:val="21"/>
          <w:szCs w:val="21"/>
        </w:rPr>
        <w:t xml:space="preserve">Quick deploy:  </w:t>
      </w:r>
      <w:r>
        <w:rPr>
          <w:sz w:val="21"/>
          <w:szCs w:val="21"/>
        </w:rPr>
        <w:t xml:space="preserve">sf project deploy quick — deploys a package that was already validated via sf project deploy validate, using that validation's job ID, without re-running tests a second time.</w:t>
      </w:r>
    </w:p>
    <w:p>
      <w:pPr>
        <w:spacing w:after="140" w:line="264"/>
      </w:pPr>
      <w:r>
        <w:rPr>
          <w:b/>
          <w:bCs/>
          <w:color w:val="1F3864"/>
          <w:sz w:val="21"/>
          <w:szCs w:val="21"/>
        </w:rPr>
        <w:t xml:space="preserve">RunLocalTests:  </w:t>
      </w:r>
      <w:r>
        <w:rPr>
          <w:sz w:val="21"/>
          <w:szCs w:val="21"/>
        </w:rPr>
        <w:t xml:space="preserve">A Salesforce test level that runs all Apex tests belonging to the org (excluding managed package tests). Required for any deploy/validate that touches Apex, and the minimum Salesforce enforces for Production.</w:t>
      </w:r>
    </w:p>
    <w:p>
      <w:pPr>
        <w:spacing w:after="140" w:line="264"/>
      </w:pPr>
      <w:r>
        <w:rPr>
          <w:b/>
          <w:bCs/>
          <w:color w:val="1F3864"/>
          <w:sz w:val="21"/>
          <w:szCs w:val="21"/>
        </w:rPr>
        <w:t xml:space="preserve">NoTestRun:  </w:t>
      </w:r>
      <w:r>
        <w:rPr>
          <w:sz w:val="21"/>
          <w:szCs w:val="21"/>
        </w:rPr>
        <w:t xml:space="preserve">A Salesforce test level that skips Apex test execution entirely. Only accepted by an actual deploy command, never by a validate/checkOnly dry run, and never usable against a Production org regardless of command.</w:t>
      </w:r>
    </w:p>
    <w:p>
      <w:pPr>
        <w:spacing w:after="140" w:line="264"/>
      </w:pPr>
      <w:r>
        <w:rPr>
          <w:b/>
          <w:bCs/>
          <w:color w:val="1F3864"/>
          <w:sz w:val="21"/>
          <w:szCs w:val="21"/>
        </w:rPr>
        <w:t xml:space="preserve">Validate / checkOnly:  </w:t>
      </w:r>
      <w:r>
        <w:rPr>
          <w:sz w:val="21"/>
          <w:szCs w:val="21"/>
        </w:rPr>
        <w:t xml:space="preserve">A Salesforce deployment mode that runs the full deploy process — including tests — against an org without actually saving any changes. Used as the pipeline's pre-merge safety check.</w:t>
      </w:r>
    </w:p>
    <w:p>
      <w:pPr>
        <w:spacing w:after="140" w:line="264"/>
      </w:pPr>
      <w:r>
        <w:rPr>
          <w:b/>
          <w:bCs/>
          <w:color w:val="1F3864"/>
          <w:sz w:val="21"/>
          <w:szCs w:val="21"/>
        </w:rPr>
        <w:t xml:space="preserve">GitHub Environment:  </w:t>
      </w:r>
      <w:r>
        <w:rPr>
          <w:sz w:val="21"/>
          <w:szCs w:val="21"/>
        </w:rPr>
        <w:t xml:space="preserve">A named deployment target in GitHub (e.g. “production”) that can hold its own secrets and protection rules (required reviewers, allowed branches), separate from repository-level secrets.</w:t>
      </w:r>
    </w:p>
    <w:p>
      <w:pPr>
        <w:spacing w:after="140" w:line="264"/>
      </w:pPr>
      <w:r>
        <w:rPr>
          <w:b/>
          <w:bCs/>
          <w:color w:val="1F3864"/>
          <w:sz w:val="21"/>
          <w:szCs w:val="21"/>
        </w:rPr>
        <w:t xml:space="preserve">actionlint:  </w:t>
      </w:r>
      <w:r>
        <w:rPr>
          <w:sz w:val="21"/>
          <w:szCs w:val="21"/>
        </w:rPr>
        <w:t xml:space="preserve">A static analysis tool for GitHub Actions workflow YAML files — checks expression syntax, job dependency graphs, and shellchecks embedded run: scripts.</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Salesforce CI/CD Pipeline —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CI/CD Pipeline — Implementation &amp; Operations Guide</dc:title>
  <dc:creator>Claude (Anthropic) — session documentation</dc:creator>
  <dc:description>Detailed knowledge-base documentation of the GitHub Actions Salesforce CI/CD pipeline build.</dc:description>
  <cp:lastModifiedBy>Un-named</cp:lastModifiedBy>
  <cp:revision>1</cp:revision>
  <dcterms:created xsi:type="dcterms:W3CDTF">2026-08-09T15:27:53.917Z</dcterms:created>
  <dcterms:modified xsi:type="dcterms:W3CDTF">2026-08-09T15:27:53.922Z</dcterms:modified>
</cp:coreProperties>
</file>

<file path=docProps/custom.xml><?xml version="1.0" encoding="utf-8"?>
<Properties xmlns="http://schemas.openxmlformats.org/officeDocument/2006/custom-properties" xmlns:vt="http://schemas.openxmlformats.org/officeDocument/2006/docPropsVTypes"/>
</file>