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aFSDafsdAFSDAfsdaFSDAfsd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DFDFSDFSDFGDSF – SDFDSFADSAFSDAFSD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12-02-2026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FDAfsdaFSDa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fsdaFSDAfsdaFSD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FasdAFSDFAsdAFSDafsd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fsdaFDafsd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aFDSFAdsfa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t xml:space="preserve">SDafsdAFSDAfsdfaDSFasdfdsa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20"/>
        <w:gridCol w:w="586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fADSfasdAFSDFadsaFSDafsdfa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SDafsdaFSDafsdAFSDafsd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aFSDFasdfaSDAfsdfaSDFASDFAd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sfASDafy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(a)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zXXZxSX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Lines/>
              <w:jc w:val="center"/>
            </w:pPr>
            <w:r>
              <w:t xml:space="preserve">(b)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  <w:jc w:val="both"/>
            </w:pPr>
            <w:r>
              <w:t xml:space="preserve">czczxczcxzczxczxczxczxczxccxcxzzx</w:t>
            </w:r>
          </w:p>
          <w:p>
            <w:pPr>
              <w:spacing w:before="80" w:after="80"/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563904f8990d116023c6d5cab50ade7a3e7743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2026-02-23T08:39:58.239Z</dcterms:created>
  <dcterms:modified xsi:type="dcterms:W3CDTF">2026-02-23T08:39:58.239Z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