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E52497" w:rsidRPr="00E52497" w:rsidRDefault="00E52497" w:rsidP="00E52497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&lt;control-plane-host&gt;:&lt;con</w:t>
      </w:r>
      <w:r w:rsidR="00A2362F">
        <w:rPr>
          <w:rFonts w:ascii="Arial" w:eastAsia="Times New Roman" w:hAnsi="Arial" w:cs="Arial"/>
          <w:color w:val="222222"/>
          <w:bdr w:val="none" w:sz="0" w:space="0" w:color="auto" w:frame="1"/>
        </w:rPr>
        <w:t>trol-plane-port&gt; --token 3cralf.f4y8</w:t>
      </w:r>
      <w:r w:rsidR="0059629A">
        <w:rPr>
          <w:rFonts w:ascii="Arial" w:eastAsia="Times New Roman" w:hAnsi="Arial" w:cs="Arial"/>
          <w:color w:val="222222"/>
          <w:bdr w:val="none" w:sz="0" w:space="0" w:color="auto" w:frame="1"/>
        </w:rPr>
        <w:t>zpzdj5lxrmq2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\</w:t>
      </w:r>
    </w:p>
    <w:p w:rsidR="00E52497" w:rsidRPr="00E52497" w:rsidRDefault="00E52497" w:rsidP="00E52497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--cri-socket "unix:///var/run/cri-dockerd.sock"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\</w:t>
      </w:r>
    </w:p>
    <w:p w:rsidR="0019129D" w:rsidRDefault="00E52497" w:rsidP="0019129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sha256:&lt;hash&gt;</w:t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Pr="0019129D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bookmarkStart w:id="0" w:name="_GoBack"/>
      <w:bookmarkEnd w:id="0"/>
    </w:p>
    <w:sectPr w:rsidR="007347B6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54FFF"/>
    <w:rsid w:val="00357ED2"/>
    <w:rsid w:val="003D54FC"/>
    <w:rsid w:val="004065DA"/>
    <w:rsid w:val="004D2F83"/>
    <w:rsid w:val="004E1AA4"/>
    <w:rsid w:val="00545030"/>
    <w:rsid w:val="0059629A"/>
    <w:rsid w:val="005E4830"/>
    <w:rsid w:val="006046F7"/>
    <w:rsid w:val="00673E5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2023-06-10T09:14:00Z</dcterms:created>
  <dcterms:modified xsi:type="dcterms:W3CDTF">2023-06-11T07:16:00Z</dcterms:modified>
</cp:coreProperties>
</file>