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Reactive Forms Approach,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formGroupName, like for e.g. [formGroupName]=”form”,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form controls, should be defined using ‘formControlName’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OnInit lifecycle hook, create the validators for all the form controls, for e.g., this.form = new FormGroup ({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name: new FormControl(‘’, ..optional validators array);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email: new FormControl(‘’, ..optional validators array);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});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FormGroup, FormControl, Validators are need to be imported from ‘@angular/forms’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Validators can be verified using the existing methods/members like required, minLength, maxLength, pattern, email etc. for e.g., 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)]),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)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displaying interactive messages, in the mark up can use &lt;formName&gt;.get(‘formControlName’).hasError(‘&lt;validator&gt;’), for e.g.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"form.get('name').hasError('minlength')"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Should be atleast 4 characters!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"form.get('name').hasError('required')"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Name is required!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Note that, ‘minlength’ here is all small letters, unlike in component (which is camelCase), same applies for ‘maxlength’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ReactiveForms doesn’t need ‘name’ attribute as we are using formControlName attribute.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Form control has zero or more validators, zero or more custom validators,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Alternate syntax for one or more validators is passing an array to Validt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Combo validations for a group of controls (formGroup) is impossible in TDF, only achievable in RF (Reactive Forms)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http get, post return &lt;Observable&gt;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For multiple custom validations: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https://stackoverflow.com/questions/48322092/angular-4-two-or-more-custom-validation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 Validators are third optional parameter for each form control, is used usually for detecting the duplicates on every keystroke, syntax would look like this,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[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customValidator1ForEmail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customValidator2ForEmail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],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[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//Async Validators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]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8322092/angular-4-two-or-more-custom-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