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TLC: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i) In the first pass, draw rectangular boxes and Identify the immediate children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(Don’t go to next level children, their children and grand-children. Go only one level.)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TLC.component.html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&lt;header-component&gt;&lt;/header-component&gt;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&lt;nav-items-list&gt;&lt;/nav-items-list&gt;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(list of homogeneous items, when opened its own html there will be *ngFor for </w:t>
      </w:r>
      <w:r w:rsidDel="00000000" w:rsidR="00000000" w:rsidRPr="00000000">
        <w:rPr>
          <w:i w:val="1"/>
          <w:rtl w:val="0"/>
        </w:rPr>
        <w:t xml:space="preserve">&lt;nav-item&gt;&lt;/nav-item&gt;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&lt;feed-and-status-container&gt;&lt;/feed-and-status-container&gt;</w:t>
      </w:r>
    </w:p>
    <w:p w:rsidR="00000000" w:rsidDel="00000000" w:rsidP="00000000" w:rsidRDefault="00000000" w:rsidRPr="00000000" w14:paraId="0000000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(it’s a wrapper of heterogeneous items, based on my highly strict and disciplined naming convention, if I open </w:t>
      </w:r>
      <w:r w:rsidDel="00000000" w:rsidR="00000000" w:rsidRPr="00000000">
        <w:rPr>
          <w:b w:val="1"/>
          <w:rtl w:val="0"/>
        </w:rPr>
        <w:t xml:space="preserve">feed-and-status-container.component.html</w:t>
      </w:r>
      <w:r w:rsidDel="00000000" w:rsidR="00000000" w:rsidRPr="00000000">
        <w:rPr>
          <w:rtl w:val="0"/>
        </w:rPr>
        <w:t xml:space="preserve">, I will see </w:t>
      </w:r>
      <w:r w:rsidDel="00000000" w:rsidR="00000000" w:rsidRPr="00000000">
        <w:rPr>
          <w:i w:val="1"/>
          <w:rtl w:val="0"/>
        </w:rPr>
        <w:t xml:space="preserve">&lt;feed-component&gt;&lt;/feed-component&gt;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&lt;status-component&gt;&lt;/status-component&gt;</w:t>
      </w:r>
      <w:r w:rsidDel="00000000" w:rsidR="00000000" w:rsidRPr="00000000">
        <w:rPr>
          <w:rtl w:val="0"/>
        </w:rPr>
        <w:t xml:space="preserve">, in any order. The order itself depends on </w:t>
      </w:r>
      <w:r w:rsidDel="00000000" w:rsidR="00000000" w:rsidRPr="00000000">
        <w:rPr>
          <w:b w:val="1"/>
          <w:rtl w:val="0"/>
        </w:rPr>
        <w:t xml:space="preserve">feed-and-status-container.component.css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TLC.component.ts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TLC.component.css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TLC.module.ts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TLC.routes.ts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Naming convention should be independent of your layout choices(position), for e.g. </w:t>
      </w:r>
      <w:r w:rsidDel="00000000" w:rsidR="00000000" w:rsidRPr="00000000">
        <w:rPr>
          <w:b w:val="1"/>
          <w:rtl w:val="0"/>
        </w:rPr>
        <w:t xml:space="preserve">LeftNavItemsList</w:t>
      </w:r>
      <w:r w:rsidDel="00000000" w:rsidR="00000000" w:rsidRPr="00000000">
        <w:rPr>
          <w:rtl w:val="0"/>
        </w:rPr>
        <w:t xml:space="preserve"> is not recommended, instead use </w:t>
      </w:r>
      <w:r w:rsidDel="00000000" w:rsidR="00000000" w:rsidRPr="00000000">
        <w:rPr>
          <w:b w:val="1"/>
          <w:rtl w:val="0"/>
        </w:rPr>
        <w:t xml:space="preserve">NavItemsList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ii) Now if I make a second pass with the same rules, I observe that feed-component is a list of homogeneous items, therefore the committee recommends the name should be </w:t>
      </w:r>
      <w:r w:rsidDel="00000000" w:rsidR="00000000" w:rsidRPr="00000000">
        <w:rPr>
          <w:i w:val="1"/>
          <w:rtl w:val="0"/>
        </w:rPr>
        <w:t xml:space="preserve">&lt;feed-items-list&gt;&lt;/feed-items-list&gt;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iii) In the third pass, we go through the identified immediate children and see any of them depends on route changes(for e.g. if url matches ../</w:t>
      </w:r>
      <w:r w:rsidDel="00000000" w:rsidR="00000000" w:rsidRPr="00000000">
        <w:rPr>
          <w:i w:val="1"/>
          <w:rtl w:val="0"/>
        </w:rPr>
        <w:t xml:space="preserve">top/a/b </w:t>
      </w:r>
      <w:r w:rsidDel="00000000" w:rsidR="00000000" w:rsidRPr="00000000">
        <w:rPr>
          <w:rtl w:val="0"/>
        </w:rPr>
        <w:t xml:space="preserve">), if yes, we replace that particular child tag name with </w:t>
      </w:r>
    </w:p>
    <w:p w:rsidR="00000000" w:rsidDel="00000000" w:rsidP="00000000" w:rsidRDefault="00000000" w:rsidRPr="00000000" w14:paraId="00000016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&lt;router-outlet&gt;&lt;/router-outlet&gt; </w:t>
      </w:r>
      <w:r w:rsidDel="00000000" w:rsidR="00000000" w:rsidRPr="00000000">
        <w:rPr>
          <w:rtl w:val="0"/>
        </w:rPr>
        <w:t xml:space="preserve">and you have to create a new entry in the routing table (TLC.routes.ts -&gt; appRoutes will have a new entry)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&lt;router-outlet name=”jaggu”&gt;&lt;/router-outlet&gt;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&lt;router-outlet name=”girishubabu”&gt;&lt;/router-outlet&gt;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TLC (markup)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A_X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&lt;router-outlet name=’jaggu’&gt;&lt;/router-outlet&gt; </w:t>
      </w:r>
      <w:r w:rsidDel="00000000" w:rsidR="00000000" w:rsidRPr="00000000">
        <w:rPr>
          <w:b w:val="1"/>
          <w:i w:val="1"/>
          <w:rtl w:val="0"/>
        </w:rPr>
        <w:t xml:space="preserve">// &lt;f-tag&gt;&lt;/f-tag&gt; // component F is placed here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A_Y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A_Y_Q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&lt;router-outlet name=’girishu’&gt;&lt;/router-outlet&gt;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B_Z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B_W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&lt;router-outlet name=’ababu’&gt;&lt;/router-outlet&gt;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Items in bold - all 3 of them have - one &lt;router-outlet&gt;&lt;/router-outlet&gt; each inside their respective .component.html’s (A, A_Y_Q, B_W)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 requirement is that: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Whenever the URL hits this path or path-pattern: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localhost:8734/top/a/b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component A should change its behaviour or display state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&amp; component B_W should change its behaviour or display state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&amp; component A_Y_Q should change something within it (or in other words, component A_Y_Q should be designed as RESPONSIVE to URL changes / path changes / route changes)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Sub-requirement: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When top/a/b path is hit, component A’s responsive sub-part should load component NNN,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component B_W’s responsive sub-part should load UUU &amp;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Component A_Y_Q’s responsive sub-part should load F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TLC.routes.ts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appRoutes = [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{path: ‘path1’, component: D}, {path: ‘path2’, component: E}, {...}, {path: ‘top/a/b’, component: F }</w:t>
      </w:r>
    </w:p>
    <w:p w:rsidR="00000000" w:rsidDel="00000000" w:rsidP="00000000" w:rsidRDefault="00000000" w:rsidRPr="00000000" w14:paraId="0000004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TLCModule.forRoot(appRoutes);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appRoutes will change now to: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appRoutes = [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{path: ‘path1’, component: D},</w:t>
      </w:r>
    </w:p>
    <w:p w:rsidR="00000000" w:rsidDel="00000000" w:rsidP="00000000" w:rsidRDefault="00000000" w:rsidRPr="00000000" w14:paraId="0000004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{path: ‘path2’, component: E},</w:t>
      </w:r>
    </w:p>
    <w:p w:rsidR="00000000" w:rsidDel="00000000" w:rsidP="00000000" w:rsidRDefault="00000000" w:rsidRPr="00000000" w14:paraId="0000004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{...},</w:t>
      </w:r>
    </w:p>
    <w:p w:rsidR="00000000" w:rsidDel="00000000" w:rsidP="00000000" w:rsidRDefault="00000000" w:rsidRPr="00000000" w14:paraId="0000004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{path: ‘top/a/b’, name: ‘jaggu’, component: NNN },</w:t>
      </w:r>
    </w:p>
    <w:p w:rsidR="00000000" w:rsidDel="00000000" w:rsidP="00000000" w:rsidRDefault="00000000" w:rsidRPr="00000000" w14:paraId="0000004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{path: ‘top/a/b’, name: girishu, component: UUU },</w:t>
      </w:r>
    </w:p>
    <w:p w:rsidR="00000000" w:rsidDel="00000000" w:rsidP="00000000" w:rsidRDefault="00000000" w:rsidRPr="00000000" w14:paraId="0000004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{path: ‘top/a/b, name: ababu, component: F }</w:t>
      </w:r>
    </w:p>
    <w:p w:rsidR="00000000" w:rsidDel="00000000" w:rsidP="00000000" w:rsidRDefault="00000000" w:rsidRPr="00000000" w14:paraId="0000004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HeaderComponent.component.html: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&lt;div class=”fb-header-container”&gt;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&lt;home&gt;&lt;/home&gt;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&lt;search-bar&gt;&lt;/search-bar&gt;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&lt;profile&gt;&lt;/profile&gt;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&lt;home&gt;&lt;/home&gt;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&lt;user-profile-navigation-links&gt;&lt;/user-profile-navigation-links&gt;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&lt;help&gt;&lt;/help&gt;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&lt;user-profile&gt;&lt;/user-profile&gt;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