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krq98rw0sde" w:id="0"/>
      <w:bookmarkEnd w:id="0"/>
      <w:r w:rsidDel="00000000" w:rsidR="00000000" w:rsidRPr="00000000">
        <w:rPr>
          <w:b w:val="1"/>
          <w:bCs w:val="1"/>
          <w:rtl w:val="0"/>
        </w:rPr>
        <w:t xml:space="preserve">EXECUTIVE RECOMMENDATION MEMO: CUSTOMER SEGMENTATION &amp; CHURN-RISK PRIORITIZATION MODEL</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Chief Commercial Officer, VP of Customer Success, and Revenue Operations Leadership</w:t>
        <w:br w:type="textWrapping"/>
      </w:r>
      <w:r w:rsidDel="00000000" w:rsidR="00000000" w:rsidRPr="00000000">
        <w:rPr>
          <w:b w:val="1"/>
          <w:bCs w:val="1"/>
          <w:rtl w:val="0"/>
        </w:rPr>
        <w:t xml:space="preserve">FROM:</w:t>
      </w:r>
      <w:r w:rsidDel="00000000" w:rsidR="00000000" w:rsidRPr="00000000">
        <w:rPr>
          <w:rtl w:val="0"/>
        </w:rPr>
        <w:t xml:space="preserve"> Principal Analytics &amp; Customer Strategy Team</w:t>
        <w:br w:type="textWrapping"/>
      </w:r>
      <w:r w:rsidDel="00000000" w:rsidR="00000000" w:rsidRPr="00000000">
        <w:rPr>
          <w:b w:val="1"/>
          <w:bCs w:val="1"/>
          <w:rtl w:val="0"/>
        </w:rPr>
        <w:t xml:space="preserve">DATE:</w:t>
      </w:r>
      <w:r w:rsidDel="00000000" w:rsidR="00000000" w:rsidRPr="00000000">
        <w:rPr>
          <w:rtl w:val="0"/>
        </w:rPr>
        <w:t xml:space="preserve"> October 5, 2026</w:t>
        <w:br w:type="textWrapping"/>
      </w:r>
      <w:r w:rsidDel="00000000" w:rsidR="00000000" w:rsidRPr="00000000">
        <w:rPr>
          <w:b w:val="1"/>
          <w:bCs w:val="1"/>
          <w:rtl w:val="0"/>
        </w:rPr>
        <w:t xml:space="preserve">SUBJECT:</w:t>
      </w:r>
      <w:r w:rsidDel="00000000" w:rsidR="00000000" w:rsidRPr="00000000">
        <w:rPr>
          <w:rtl w:val="0"/>
        </w:rPr>
        <w:t xml:space="preserve"> Operationalizing Explainable Churn Risk Scoring and Segment-Specific Retention Playbooks</w:t>
        <w:br w:type="textWrapping"/>
      </w:r>
      <w:r w:rsidDel="00000000" w:rsidR="00000000" w:rsidRPr="00000000">
        <w:rPr>
          <w:b w:val="1"/>
          <w:bCs w:val="1"/>
          <w:rtl w:val="0"/>
        </w:rPr>
        <w:t xml:space="preserve">DELIVERABLES REPOSITORY:</w:t>
      </w:r>
      <w:r w:rsidDel="00000000" w:rsidR="00000000" w:rsidRPr="00000000">
        <w:rPr>
          <w:rtl w:val="0"/>
        </w:rPr>
        <w:t xml:space="preserve"> </w:t>
      </w:r>
      <w:hyperlink r:id="rId6">
        <w:r w:rsidDel="00000000" w:rsidR="00000000" w:rsidRPr="00000000">
          <w:rPr>
            <w:color w:val="1155cc"/>
            <w:u w:val="single"/>
            <w:rtl w:val="0"/>
          </w:rPr>
          <w:t xml:space="preserve">Project Google Drive Folder</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yskr765xum4o" w:id="1"/>
      <w:bookmarkEnd w:id="1"/>
      <w:r w:rsidDel="00000000" w:rsidR="00000000" w:rsidRPr="00000000">
        <w:rPr>
          <w:b w:val="1"/>
          <w:bCs w:val="1"/>
          <w:rtl w:val="0"/>
        </w:rPr>
        <w:t xml:space="preserve">1. EXECUTIVE SUMMARY &amp; STRATEGIC CONTEXT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Historically, our customer retention strategy has relied on lagging indicators—such as cancellation notices, contract expiry alerts, and subjective Customer Success Manager (CSM) sentiment. While descriptive analytics confirmed that churn was concentrated in early-stage accounts on monthly billing, this retrospective viewpoint provided frontline teams with zero forward-looking triage capability.</w:t>
      </w:r>
    </w:p>
    <w:p w:rsidR="00000000" w:rsidDel="00000000" w:rsidP="00000000" w:rsidRDefault="00000000" w:rsidRPr="00000000" w14:paraId="00000006">
      <w:pPr>
        <w:rPr/>
      </w:pPr>
      <w:r w:rsidDel="00000000" w:rsidR="00000000" w:rsidRPr="00000000">
        <w:rPr>
          <w:rtl w:val="0"/>
        </w:rPr>
        <w:t xml:space="preserve">To move from passive reporting to an </w:t>
      </w:r>
      <w:r w:rsidDel="00000000" w:rsidR="00000000" w:rsidRPr="00000000">
        <w:rPr>
          <w:b w:val="1"/>
          <w:bCs w:val="1"/>
          <w:rtl w:val="0"/>
        </w:rPr>
        <w:t xml:space="preserve">explainable, proactive prioritization engine</w:t>
      </w:r>
      <w:r w:rsidDel="00000000" w:rsidR="00000000" w:rsidRPr="00000000">
        <w:rPr>
          <w:rtl w:val="0"/>
        </w:rPr>
        <w:t xml:space="preserve">, we engineered an additive, rule-based 0–100 point Churn-Risk Scoring Model. This model directly evaluates account commitment structures and behavioral friction telemetry. In our empirical validation against the customer dataset:</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100% of historical churners</w:t>
      </w:r>
      <w:r w:rsidDel="00000000" w:rsidR="00000000" w:rsidRPr="00000000">
        <w:rPr>
          <w:rtl w:val="0"/>
        </w:rPr>
        <w:t xml:space="preserve"> scored in the High-Risk band (scores ranging from 75 to 100).</w:t>
      </w:r>
    </w:p>
    <w:p w:rsidR="00000000" w:rsidDel="00000000" w:rsidP="00000000" w:rsidRDefault="00000000" w:rsidRPr="00000000" w14:paraId="00000008">
      <w:pPr>
        <w:numPr>
          <w:ilvl w:val="0"/>
          <w:numId w:val="6"/>
        </w:numPr>
        <w:ind w:left="720" w:hanging="360"/>
      </w:pPr>
      <w:r w:rsidDel="00000000" w:rsidR="00000000" w:rsidRPr="00000000">
        <w:rPr>
          <w:b w:val="1"/>
          <w:bCs w:val="1"/>
          <w:rtl w:val="0"/>
        </w:rPr>
        <w:t xml:space="preserve">100% of retained customers</w:t>
      </w:r>
      <w:r w:rsidDel="00000000" w:rsidR="00000000" w:rsidRPr="00000000">
        <w:rPr>
          <w:rtl w:val="0"/>
        </w:rPr>
        <w:t xml:space="preserve"> scored in the Low-Risk band (scores ranging from 2 to 30).</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The model establishes an operational </w:t>
      </w:r>
      <w:r w:rsidDel="00000000" w:rsidR="00000000" w:rsidRPr="00000000">
        <w:rPr>
          <w:b w:val="1"/>
          <w:bCs w:val="1"/>
          <w:rtl w:val="0"/>
        </w:rPr>
        <w:t xml:space="preserve">Medium-Risk band (35–64 points)</w:t>
      </w:r>
      <w:r w:rsidDel="00000000" w:rsidR="00000000" w:rsidRPr="00000000">
        <w:rPr>
          <w:rtl w:val="0"/>
        </w:rPr>
        <w:t xml:space="preserve"> that functions as an early-warning intervention buffer for accounts before cancellation intent hardens.</w:t>
      </w:r>
    </w:p>
    <w:p w:rsidR="00000000" w:rsidDel="00000000" w:rsidP="00000000" w:rsidRDefault="00000000" w:rsidRPr="00000000" w14:paraId="0000000A">
      <w:pPr>
        <w:rPr/>
      </w:pPr>
      <w:r w:rsidDel="00000000" w:rsidR="00000000" w:rsidRPr="00000000">
        <w:rPr>
          <w:rtl w:val="0"/>
        </w:rPr>
        <w:t xml:space="preserve">Furthermore, we segmented the customer base into six granular behavioral cohorts grouped into four strategic tiers. Most critically, our analysis reveals that while our Enterprise tier accounts generate 73.7% of cumulative revenue ($23,098.46) with 0% churn, our mid-market Pro tier suffers from acute vulnerability: 50% of Pro revenue ($1,919.76 ARR) has been lost to Month-to-Month contract churn driven by unresolved technical support friction.</w:t>
      </w:r>
    </w:p>
    <w:p w:rsidR="00000000" w:rsidDel="00000000" w:rsidP="00000000" w:rsidRDefault="00000000" w:rsidRPr="00000000" w14:paraId="0000000B">
      <w:pPr>
        <w:rPr/>
      </w:pPr>
      <w:r w:rsidDel="00000000" w:rsidR="00000000" w:rsidRPr="00000000">
        <w:rPr>
          <w:rtl w:val="0"/>
        </w:rPr>
        <w:t xml:space="preserve">This memo outlines the feature selection rationale, the transparent scoring architecture, edge-case stress-testing results, customer cohort financial profiles, and concrete retention playbooks for each high-value and flight-risk segment.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wdmh0qj9xybb" w:id="2"/>
      <w:bookmarkEnd w:id="2"/>
      <w:r w:rsidDel="00000000" w:rsidR="00000000" w:rsidRPr="00000000">
        <w:rPr>
          <w:b w:val="1"/>
          <w:bCs w:val="1"/>
          <w:rtl w:val="0"/>
        </w:rPr>
        <w:t xml:space="preserve">2. BEHAVIORAL AND ACCOUNT FEATURE SELECTION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Feature selection was guided by three principles: operational transparency, direct CSM actionability, and causal relationship to customer exit. Features are divided into </w:t>
      </w:r>
      <w:r w:rsidDel="00000000" w:rsidR="00000000" w:rsidRPr="00000000">
        <w:rPr>
          <w:b w:val="1"/>
          <w:bCs w:val="1"/>
          <w:rtl w:val="0"/>
        </w:rPr>
        <w:t xml:space="preserve">Account Commitment Dimensions</w:t>
      </w:r>
      <w:r w:rsidDel="00000000" w:rsidR="00000000" w:rsidRPr="00000000">
        <w:rPr>
          <w:rtl w:val="0"/>
        </w:rPr>
        <w:t xml:space="preserve"> and </w:t>
      </w:r>
      <w:r w:rsidDel="00000000" w:rsidR="00000000" w:rsidRPr="00000000">
        <w:rPr>
          <w:b w:val="1"/>
          <w:bCs w:val="1"/>
          <w:rtl w:val="0"/>
        </w:rPr>
        <w:t xml:space="preserve">Behavioral Friction Telemetry</w:t>
      </w:r>
      <w:r w:rsidDel="00000000" w:rsidR="00000000" w:rsidRPr="00000000">
        <w:rPr>
          <w:rtl w:val="0"/>
        </w:rPr>
        <w:t xml:space="preserve">:</w:t>
      </w:r>
    </w:p>
    <w:p w:rsidR="00000000" w:rsidDel="00000000" w:rsidP="00000000" w:rsidRDefault="00000000" w:rsidRPr="00000000" w14:paraId="0000000F">
      <w:pPr>
        <w:pStyle w:val="Heading4"/>
        <w:rPr/>
      </w:pPr>
      <w:bookmarkStart w:colFirst="0" w:colLast="0" w:name="_aj7mrrrus3u6" w:id="3"/>
      <w:bookmarkEnd w:id="3"/>
      <w:r w:rsidDel="00000000" w:rsidR="00000000" w:rsidRPr="00000000">
        <w:rPr>
          <w:b w:val="1"/>
          <w:bCs w:val="1"/>
          <w:rtl w:val="0"/>
        </w:rPr>
        <w:t xml:space="preserve">A. Account Commitment Dimensions (Structural Switching Costs)</w:t>
      </w: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Contract Type (</w:t>
      </w:r>
      <w:r w:rsidDel="00000000" w:rsidR="00000000" w:rsidRPr="00000000">
        <w:rPr>
          <w:rFonts w:ascii="Consolas" w:cs="Consolas" w:eastAsia="Consolas" w:hAnsi="Consolas"/>
          <w:rtl w:val="0"/>
        </w:rPr>
        <w:t xml:space="preserve">ContractType</w:t>
      </w:r>
      <w:r w:rsidDel="00000000" w:rsidR="00000000" w:rsidRPr="00000000">
        <w:rPr>
          <w:b w:val="1"/>
          <w:bCs w:val="1"/>
          <w:rtl w:val="0"/>
        </w:rPr>
        <w:t xml:space="preserve">)</w:t>
      </w:r>
      <w:r w:rsidDel="00000000" w:rsidR="00000000" w:rsidRPr="00000000">
        <w:rPr>
          <w:rtl w:val="0"/>
        </w:rPr>
        <w:t xml:space="preserve">: The single most decisive structural determinant of customer retention. Customers on Two-Year and One-Year agreements have locked-in financial commitments, structured onboarding timelines, and formal change-management hurdles. Conversely, Month-to-Month contracts carry zero exit friction. In the historical sample, 100% of churned accounts were on Month-to-Month terms, whereas zero annual or multi-year accounts churned.</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Tenure &amp; Lifecycle Maturity (</w:t>
      </w:r>
      <w:r w:rsidDel="00000000" w:rsidR="00000000" w:rsidRPr="00000000">
        <w:rPr>
          <w:rFonts w:ascii="Consolas" w:cs="Consolas" w:eastAsia="Consolas" w:hAnsi="Consolas"/>
          <w:rtl w:val="0"/>
        </w:rPr>
        <w:t xml:space="preserve">TenureMonths</w:t>
      </w:r>
      <w:r w:rsidDel="00000000" w:rsidR="00000000" w:rsidRPr="00000000">
        <w:rPr>
          <w:rtl w:val="0"/>
        </w:rPr>
        <w:t xml:space="preserve"> / </w:t>
      </w:r>
      <w:r w:rsidDel="00000000" w:rsidR="00000000" w:rsidRPr="00000000">
        <w:rPr>
          <w:rFonts w:ascii="Consolas" w:cs="Consolas" w:eastAsia="Consolas" w:hAnsi="Consolas"/>
          <w:rtl w:val="0"/>
        </w:rPr>
        <w:t xml:space="preserve">TenureCohort</w:t>
      </w:r>
      <w:r w:rsidDel="00000000" w:rsidR="00000000" w:rsidRPr="00000000">
        <w:rPr>
          <w:b w:val="1"/>
          <w:bCs w:val="1"/>
          <w:rtl w:val="0"/>
        </w:rPr>
        <w:t xml:space="preserve">)</w:t>
      </w:r>
      <w:r w:rsidDel="00000000" w:rsidR="00000000" w:rsidRPr="00000000">
        <w:rPr>
          <w:rtl w:val="0"/>
        </w:rPr>
        <w:t xml:space="preserve">: SaaS customer vulnerability follows a classic bathtub hazard curve. Customers in the onboarding phase (0–6 months) are still validating product utility, experiencing workflow disruption, and forming usage habits. Once a customer surpasses 14 months, operational embedding dramatically reduces voluntary churn.</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Subscription Tier &amp; Monthly Charges (</w:t>
      </w:r>
      <w:r w:rsidDel="00000000" w:rsidR="00000000" w:rsidRPr="00000000">
        <w:rPr>
          <w:rFonts w:ascii="Consolas" w:cs="Consolas" w:eastAsia="Consolas" w:hAnsi="Consolas"/>
          <w:rtl w:val="0"/>
        </w:rPr>
        <w:t xml:space="preserve">SubscriptionType</w:t>
      </w:r>
      <w:r w:rsidDel="00000000" w:rsidR="00000000" w:rsidRPr="00000000">
        <w:rPr>
          <w:rtl w:val="0"/>
        </w:rPr>
        <w:t xml:space="preserve"> / </w:t>
      </w:r>
      <w:r w:rsidDel="00000000" w:rsidR="00000000" w:rsidRPr="00000000">
        <w:rPr>
          <w:rFonts w:ascii="Consolas" w:cs="Consolas" w:eastAsia="Consolas" w:hAnsi="Consolas"/>
          <w:rtl w:val="0"/>
        </w:rPr>
        <w:t xml:space="preserve">MonthlyCharges</w:t>
      </w:r>
      <w:r w:rsidDel="00000000" w:rsidR="00000000" w:rsidRPr="00000000">
        <w:rPr>
          <w:b w:val="1"/>
          <w:bCs w:val="1"/>
          <w:rtl w:val="0"/>
        </w:rPr>
        <w:t xml:space="preserve">)</w:t>
      </w:r>
      <w:r w:rsidDel="00000000" w:rsidR="00000000" w:rsidRPr="00000000">
        <w:rPr>
          <w:rtl w:val="0"/>
        </w:rPr>
        <w:t xml:space="preserve">: Captures customer economic value and organizational commitment:</w:t>
      </w:r>
    </w:p>
    <w:p w:rsidR="00000000" w:rsidDel="00000000" w:rsidP="00000000" w:rsidRDefault="00000000" w:rsidRPr="00000000" w14:paraId="00000013">
      <w:pPr>
        <w:numPr>
          <w:ilvl w:val="1"/>
          <w:numId w:val="4"/>
        </w:numPr>
        <w:ind w:left="1440" w:hanging="360"/>
      </w:pPr>
      <w:r w:rsidDel="00000000" w:rsidR="00000000" w:rsidRPr="00000000">
        <w:rPr>
          <w:i w:val="1"/>
          <w:iCs w:val="1"/>
          <w:rtl w:val="0"/>
        </w:rPr>
        <w:t xml:space="preserve">Enterprise ($149.99/mo)</w:t>
      </w:r>
      <w:r w:rsidDel="00000000" w:rsidR="00000000" w:rsidRPr="00000000">
        <w:rPr>
          <w:rtl w:val="0"/>
        </w:rPr>
        <w:t xml:space="preserve">: Institutional adoption, multi-seat deployments, dedicated procurement.</w:t>
      </w:r>
    </w:p>
    <w:p w:rsidR="00000000" w:rsidDel="00000000" w:rsidP="00000000" w:rsidRDefault="00000000" w:rsidRPr="00000000" w14:paraId="00000014">
      <w:pPr>
        <w:numPr>
          <w:ilvl w:val="1"/>
          <w:numId w:val="4"/>
        </w:numPr>
        <w:ind w:left="1440" w:hanging="360"/>
      </w:pPr>
      <w:r w:rsidDel="00000000" w:rsidR="00000000" w:rsidRPr="00000000">
        <w:rPr>
          <w:i w:val="1"/>
          <w:iCs w:val="1"/>
          <w:rtl w:val="0"/>
        </w:rPr>
        <w:t xml:space="preserve">Pro ($79.99/mo)</w:t>
      </w:r>
      <w:r w:rsidDel="00000000" w:rsidR="00000000" w:rsidRPr="00000000">
        <w:rPr>
          <w:rtl w:val="0"/>
        </w:rPr>
        <w:t xml:space="preserve">: Mid-market teams with high functional expectations but lower switching barriers.</w:t>
      </w:r>
    </w:p>
    <w:p w:rsidR="00000000" w:rsidDel="00000000" w:rsidP="00000000" w:rsidRDefault="00000000" w:rsidRPr="00000000" w14:paraId="00000015">
      <w:pPr>
        <w:numPr>
          <w:ilvl w:val="1"/>
          <w:numId w:val="4"/>
        </w:numPr>
        <w:ind w:left="1440" w:hanging="360"/>
      </w:pPr>
      <w:r w:rsidDel="00000000" w:rsidR="00000000" w:rsidRPr="00000000">
        <w:rPr>
          <w:i w:val="1"/>
          <w:iCs w:val="1"/>
          <w:rtl w:val="0"/>
        </w:rPr>
        <w:t xml:space="preserve">Basic ($49.99/mo)</w:t>
      </w:r>
      <w:r w:rsidDel="00000000" w:rsidR="00000000" w:rsidRPr="00000000">
        <w:rPr>
          <w:rtl w:val="0"/>
        </w:rPr>
        <w:t xml:space="preserve">: Entry-level single users or small teams with high price sensitivity.</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Payment Channel Reliability (</w:t>
      </w:r>
      <w:r w:rsidDel="00000000" w:rsidR="00000000" w:rsidRPr="00000000">
        <w:rPr>
          <w:rFonts w:ascii="Consolas" w:cs="Consolas" w:eastAsia="Consolas" w:hAnsi="Consolas"/>
          <w:rtl w:val="0"/>
        </w:rPr>
        <w:t xml:space="preserve">PaymentMethod</w:t>
      </w:r>
      <w:r w:rsidDel="00000000" w:rsidR="00000000" w:rsidRPr="00000000">
        <w:rPr>
          <w:b w:val="1"/>
          <w:bCs w:val="1"/>
          <w:rtl w:val="0"/>
        </w:rPr>
        <w:t xml:space="preserve">)</w:t>
      </w:r>
      <w:r w:rsidDel="00000000" w:rsidR="00000000" w:rsidRPr="00000000">
        <w:rPr>
          <w:rtl w:val="0"/>
        </w:rPr>
        <w:t xml:space="preserve">: Channel mechanics influence both voluntary and involuntary churn. Bank Transfers (ACH/wire) and Credit Cards with auto-pay indicate institutional billing workflows with low failure rates. Conversely, Debit Cards and ad-hoc UPI payments exhibit higher transaction failure rates, manual re-authorization requirements, and lower financial commitment.</w:t>
      </w:r>
    </w:p>
    <w:p w:rsidR="00000000" w:rsidDel="00000000" w:rsidP="00000000" w:rsidRDefault="00000000" w:rsidRPr="00000000" w14:paraId="00000017">
      <w:pPr>
        <w:pStyle w:val="Heading4"/>
        <w:rPr/>
      </w:pPr>
      <w:bookmarkStart w:colFirst="0" w:colLast="0" w:name="_jsw0swlzi49c" w:id="4"/>
      <w:bookmarkEnd w:id="4"/>
      <w:r w:rsidDel="00000000" w:rsidR="00000000" w:rsidRPr="00000000">
        <w:rPr>
          <w:b w:val="1"/>
          <w:bCs w:val="1"/>
          <w:rtl w:val="0"/>
        </w:rPr>
        <w:t xml:space="preserve">B. Behavioral Friction Telemetry (Customer Effort &amp; Dissatisfaction)</w:t>
      </w: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Cumulative Support Tickets (</w:t>
      </w:r>
      <w:r w:rsidDel="00000000" w:rsidR="00000000" w:rsidRPr="00000000">
        <w:rPr>
          <w:rFonts w:ascii="Consolas" w:cs="Consolas" w:eastAsia="Consolas" w:hAnsi="Consolas"/>
          <w:rtl w:val="0"/>
        </w:rPr>
        <w:t xml:space="preserve">SupportTickets</w:t>
      </w:r>
      <w:r w:rsidDel="00000000" w:rsidR="00000000" w:rsidRPr="00000000">
        <w:rPr>
          <w:b w:val="1"/>
          <w:bCs w:val="1"/>
          <w:rtl w:val="0"/>
        </w:rPr>
        <w:t xml:space="preserve">)</w:t>
      </w:r>
      <w:r w:rsidDel="00000000" w:rsidR="00000000" w:rsidRPr="00000000">
        <w:rPr>
          <w:rtl w:val="0"/>
        </w:rPr>
        <w:t xml:space="preserve">: Reflects customer friction and unfulfilled product expectations. In our dataset, retained customers averaged 1.0 support ticket (range: 0–2), while churned customers averaged 4.3 tickets (range: 3–6). Every ticket represents operational friction; when tickets exceed 3, customer satisfaction degrades exponentially.</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Support Ticket Velocity (</w:t>
      </w:r>
      <w:r w:rsidDel="00000000" w:rsidR="00000000" w:rsidRPr="00000000">
        <w:rPr>
          <w:rFonts w:ascii="Consolas" w:cs="Consolas" w:eastAsia="Consolas" w:hAnsi="Consolas"/>
          <w:rtl w:val="0"/>
        </w:rPr>
        <w:t xml:space="preserve">SupportTicketRate</w:t>
      </w:r>
      <w:r w:rsidDel="00000000" w:rsidR="00000000" w:rsidRPr="00000000">
        <w:rPr>
          <w:b w:val="1"/>
          <w:bCs w:val="1"/>
          <w:rtl w:val="0"/>
        </w:rPr>
        <w:t xml:space="preserve">)</w:t>
      </w:r>
      <w:r w:rsidDel="00000000" w:rsidR="00000000" w:rsidRPr="00000000">
        <w:rPr>
          <w:rtl w:val="0"/>
        </w:rPr>
        <w:t xml:space="preserve">: Calculated as </w:t>
      </w:r>
      <w:r w:rsidDel="00000000" w:rsidR="00000000" w:rsidRPr="00000000">
        <w:rPr>
          <w:rFonts w:ascii="Consolas" w:cs="Consolas" w:eastAsia="Consolas" w:hAnsi="Consolas"/>
          <w:rtl w:val="0"/>
        </w:rPr>
        <w:t xml:space="preserve">SupportTickets / TenureMonths</w:t>
      </w:r>
      <w:r w:rsidDel="00000000" w:rsidR="00000000" w:rsidRPr="00000000">
        <w:rPr>
          <w:rtl w:val="0"/>
        </w:rPr>
        <w:t xml:space="preserve">. Absolute ticket count can misrepresent risk if evaluated without tenure context. For instance, 4 tickets logged across 24 months (velocity = 0.17 tickets/mo) reflects normal operational maintenance, whereas 5 tickets logged within 2 months (velocity = 2.50 tickets/mo) represents a catastrophic onboarding failure. Incorporating velocity enables instantaneous detection of early customer distress.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rPr/>
      </w:pPr>
      <w:bookmarkStart w:colFirst="0" w:colLast="0" w:name="_7f2df0gh7x3y" w:id="5"/>
      <w:bookmarkEnd w:id="5"/>
      <w:r w:rsidDel="00000000" w:rsidR="00000000" w:rsidRPr="00000000">
        <w:rPr>
          <w:b w:val="1"/>
          <w:bCs w:val="1"/>
          <w:rtl w:val="0"/>
        </w:rPr>
        <w:t xml:space="preserve">3. EXPLAINABLE CHURN-RISK SCORING ARCHITECTURE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ensure operational adoption by CSMs and Account Executives, the model avoids opaque statistical weights in favor of a deterministic, additive point system scaled from 0 to 100 points:</w:t>
      </w:r>
    </w:p>
    <w:p w:rsidR="00000000" w:rsidDel="00000000" w:rsidP="00000000" w:rsidRDefault="00000000" w:rsidRPr="00000000" w14:paraId="0000001D">
      <w:pPr>
        <w:jc w:val="center"/>
        <w:rPr/>
      </w:pPr>
      <w:r w:rsidDel="00000000" w:rsidR="00000000" w:rsidRPr="00000000">
        <w:rPr>
          <w:i w:val="1"/>
          <w:iCs w:val="1"/>
          <w:rtl w:val="0"/>
        </w:rPr>
        <w:t xml:space="preserve">Churn Risk Score = min(max(S_contract + S_support + S_tenure + S_payment, 0), 100)</w:t>
      </w:r>
      <w:r w:rsidDel="00000000" w:rsidR="00000000" w:rsidRPr="00000000">
        <w:rPr>
          <w:rtl w:val="0"/>
        </w:rPr>
      </w:r>
    </w:p>
    <w:p w:rsidR="00000000" w:rsidDel="00000000" w:rsidP="00000000" w:rsidRDefault="00000000" w:rsidRPr="00000000" w14:paraId="0000001E">
      <w:pPr>
        <w:pStyle w:val="Heading4"/>
        <w:rPr/>
      </w:pPr>
      <w:bookmarkStart w:colFirst="0" w:colLast="0" w:name="_3mrrf0a8u1fn" w:id="6"/>
      <w:bookmarkEnd w:id="6"/>
      <w:r w:rsidDel="00000000" w:rsidR="00000000" w:rsidRPr="00000000">
        <w:rPr>
          <w:b w:val="1"/>
          <w:bCs w:val="1"/>
          <w:rtl w:val="0"/>
        </w:rPr>
        <w:t xml:space="preserve">Detailed Component Point Distribution:</w:t>
      </w:r>
      <w:r w:rsidDel="00000000" w:rsidR="00000000" w:rsidRPr="00000000">
        <w:rPr>
          <w:rtl w:val="0"/>
        </w:rPr>
      </w:r>
    </w:p>
    <w:tbl>
      <w:tblPr>
        <w:tblStyle w:val="Table1"/>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1600"/>
        <w:gridCol w:w="1200"/>
        <w:gridCol w:w="2800"/>
        <w:tblGridChange w:id="0">
          <w:tblGrid>
            <w:gridCol w:w="2400"/>
            <w:gridCol w:w="2400"/>
            <w:gridCol w:w="1600"/>
            <w:gridCol w:w="1200"/>
            <w:gridCol w:w="2800"/>
          </w:tblGrid>
        </w:tblGridChange>
      </w:tblGrid>
      <w:tr>
        <w:trPr>
          <w:cantSplit w:val="0"/>
          <w:tblHeader w:val="1"/>
        </w:trPr>
        <w:tc>
          <w:tcPr>
            <w:shd w:fill="e6e6e6" w:val="clear"/>
          </w:tcPr>
          <w:p w:rsidR="00000000" w:rsidDel="00000000" w:rsidP="00000000" w:rsidRDefault="00000000" w:rsidRPr="00000000" w14:paraId="0000001F">
            <w:pPr>
              <w:rPr/>
            </w:pPr>
            <w:r w:rsidDel="00000000" w:rsidR="00000000" w:rsidRPr="00000000">
              <w:rPr>
                <w:b w:val="1"/>
                <w:bCs w:val="1"/>
                <w:rtl w:val="0"/>
              </w:rPr>
              <w:t xml:space="preserve">Component</w:t>
            </w:r>
            <w:r w:rsidDel="00000000" w:rsidR="00000000" w:rsidRPr="00000000">
              <w:rPr>
                <w:rtl w:val="0"/>
              </w:rPr>
            </w:r>
          </w:p>
        </w:tc>
        <w:tc>
          <w:tcPr>
            <w:shd w:fill="e6e6e6" w:val="clear"/>
          </w:tcPr>
          <w:p w:rsidR="00000000" w:rsidDel="00000000" w:rsidP="00000000" w:rsidRDefault="00000000" w:rsidRPr="00000000" w14:paraId="00000020">
            <w:pPr>
              <w:rPr/>
            </w:pPr>
            <w:r w:rsidDel="00000000" w:rsidR="00000000" w:rsidRPr="00000000">
              <w:rPr>
                <w:b w:val="1"/>
                <w:bCs w:val="1"/>
                <w:rtl w:val="0"/>
              </w:rPr>
              <w:t xml:space="preserve">Telemetry Condition</w:t>
            </w:r>
            <w:r w:rsidDel="00000000" w:rsidR="00000000" w:rsidRPr="00000000">
              <w:rPr>
                <w:rtl w:val="0"/>
              </w:rPr>
            </w:r>
          </w:p>
        </w:tc>
        <w:tc>
          <w:tcPr>
            <w:shd w:fill="e6e6e6" w:val="clear"/>
          </w:tcPr>
          <w:p w:rsidR="00000000" w:rsidDel="00000000" w:rsidP="00000000" w:rsidRDefault="00000000" w:rsidRPr="00000000" w14:paraId="00000021">
            <w:pPr>
              <w:rPr/>
            </w:pPr>
            <w:r w:rsidDel="00000000" w:rsidR="00000000" w:rsidRPr="00000000">
              <w:rPr>
                <w:b w:val="1"/>
                <w:bCs w:val="1"/>
                <w:rtl w:val="0"/>
              </w:rPr>
              <w:t xml:space="preserve">Points Assigned</w:t>
            </w:r>
            <w:r w:rsidDel="00000000" w:rsidR="00000000" w:rsidRPr="00000000">
              <w:rPr>
                <w:rtl w:val="0"/>
              </w:rPr>
            </w:r>
          </w:p>
        </w:tc>
        <w:tc>
          <w:tcPr>
            <w:shd w:fill="e6e6e6" w:val="clear"/>
          </w:tcPr>
          <w:p w:rsidR="00000000" w:rsidDel="00000000" w:rsidP="00000000" w:rsidRDefault="00000000" w:rsidRPr="00000000" w14:paraId="00000022">
            <w:pPr>
              <w:rPr/>
            </w:pPr>
            <w:r w:rsidDel="00000000" w:rsidR="00000000" w:rsidRPr="00000000">
              <w:rPr>
                <w:b w:val="1"/>
                <w:bCs w:val="1"/>
                <w:rtl w:val="0"/>
              </w:rPr>
              <w:t xml:space="preserve">Max Points</w:t>
            </w:r>
            <w:r w:rsidDel="00000000" w:rsidR="00000000" w:rsidRPr="00000000">
              <w:rPr>
                <w:rtl w:val="0"/>
              </w:rPr>
            </w:r>
          </w:p>
        </w:tc>
        <w:tc>
          <w:tcPr>
            <w:shd w:fill="e6e6e6" w:val="clear"/>
          </w:tcPr>
          <w:p w:rsidR="00000000" w:rsidDel="00000000" w:rsidP="00000000" w:rsidRDefault="00000000" w:rsidRPr="00000000" w14:paraId="00000023">
            <w:pPr>
              <w:rPr/>
            </w:pPr>
            <w:r w:rsidDel="00000000" w:rsidR="00000000" w:rsidRPr="00000000">
              <w:rPr>
                <w:b w:val="1"/>
                <w:bCs w:val="1"/>
                <w:rtl w:val="0"/>
              </w:rPr>
              <w:t xml:space="preserve">Operational Rationale</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1. Contract Vulnerability (S_contract)</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Month-to-Month</w:t>
              <w:br w:type="textWrapping"/>
              <w:t xml:space="preserve">One Year</w:t>
              <w:br w:type="textWrapping"/>
              <w:t xml:space="preserve">Two Year</w:t>
            </w:r>
          </w:p>
        </w:tc>
        <w:tc>
          <w:tcPr/>
          <w:p w:rsidR="00000000" w:rsidDel="00000000" w:rsidP="00000000" w:rsidRDefault="00000000" w:rsidRPr="00000000" w14:paraId="00000026">
            <w:pPr>
              <w:rPr/>
            </w:pPr>
            <w:r w:rsidDel="00000000" w:rsidR="00000000" w:rsidRPr="00000000">
              <w:rPr>
                <w:rtl w:val="0"/>
              </w:rPr>
              <w:t xml:space="preserve">40 pts</w:t>
              <w:br w:type="textWrapping"/>
              <w:t xml:space="preserve">10 pts</w:t>
              <w:br w:type="textWrapping"/>
              <w:t xml:space="preserve">0 pts</w:t>
            </w:r>
          </w:p>
        </w:tc>
        <w:tc>
          <w:tcPr/>
          <w:p w:rsidR="00000000" w:rsidDel="00000000" w:rsidP="00000000" w:rsidRDefault="00000000" w:rsidRPr="00000000" w14:paraId="00000027">
            <w:pPr>
              <w:rPr/>
            </w:pPr>
            <w:r w:rsidDel="00000000" w:rsidR="00000000" w:rsidRPr="00000000">
              <w:rPr>
                <w:b w:val="1"/>
                <w:bCs w:val="1"/>
                <w:rtl w:val="0"/>
              </w:rPr>
              <w:t xml:space="preserve">40 pts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Month-to-Month allows frictionless cancellation at next cycle. One-Year contracts carry minor renewal risk. Two-Year contracts offer ironclad stability.</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2. Support Friction &amp; Velocity (S_support)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Tickets &gt;= 5</w:t>
              <w:br w:type="textWrapping"/>
              <w:t xml:space="preserve">Tickets in [3, 4]</w:t>
              <w:br w:type="textWrapping"/>
              <w:t xml:space="preserve">Tickets in [1, 2]</w:t>
              <w:br w:type="textWrapping"/>
              <w:t xml:space="preserve">Tickets = 0</w:t>
              <w:br w:type="textWrapping"/>
            </w:r>
            <w:r w:rsidDel="00000000" w:rsidR="00000000" w:rsidRPr="00000000">
              <w:rPr>
                <w:i w:val="1"/>
                <w:iCs w:val="1"/>
                <w:rtl w:val="0"/>
              </w:rPr>
              <w:t xml:space="preserve">(Velocity Floor: &gt;= 0.5 tix/mo)</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35 pts</w:t>
              <w:br w:type="textWrapping"/>
              <w:t xml:space="preserve">25 pts</w:t>
              <w:br w:type="textWrapping"/>
              <w:t xml:space="preserve">10 pts</w:t>
              <w:br w:type="textWrapping"/>
              <w:t xml:space="preserve">0 pts</w:t>
              <w:br w:type="textWrapping"/>
            </w:r>
            <w:r w:rsidDel="00000000" w:rsidR="00000000" w:rsidRPr="00000000">
              <w:rPr>
                <w:i w:val="1"/>
                <w:iCs w:val="1"/>
                <w:rtl w:val="0"/>
              </w:rPr>
              <w:t xml:space="preserve">(Floor at 25 pts)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35 pts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Cumulative tickets reflect product friction. Velocity override ensures acute onboarding failures receive an immediate risk boost regardless of absolute count.</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3. Tenure Lifecycle Stage (S_tenure)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Tenure &lt;= 6 months</w:t>
              <w:br w:type="textWrapping"/>
              <w:t xml:space="preserve">Tenure in [7, 12] months</w:t>
              <w:br w:type="textWrapping"/>
              <w:t xml:space="preserve">Tenure in [13, 24] months</w:t>
              <w:br w:type="textWrapping"/>
              <w:t xml:space="preserve">Tenure &gt; 24 months</w:t>
            </w:r>
          </w:p>
        </w:tc>
        <w:tc>
          <w:tcPr/>
          <w:p w:rsidR="00000000" w:rsidDel="00000000" w:rsidP="00000000" w:rsidRDefault="00000000" w:rsidRPr="00000000" w14:paraId="00000030">
            <w:pPr>
              <w:rPr/>
            </w:pPr>
            <w:r w:rsidDel="00000000" w:rsidR="00000000" w:rsidRPr="00000000">
              <w:rPr>
                <w:rtl w:val="0"/>
              </w:rPr>
              <w:t xml:space="preserve">20 pts</w:t>
              <w:br w:type="textWrapping"/>
              <w:t xml:space="preserve">12 pts</w:t>
              <w:br w:type="textWrapping"/>
              <w:t xml:space="preserve">5 pts</w:t>
              <w:br w:type="textWrapping"/>
              <w:t xml:space="preserve">0 pts</w:t>
            </w:r>
          </w:p>
        </w:tc>
        <w:tc>
          <w:tcPr/>
          <w:p w:rsidR="00000000" w:rsidDel="00000000" w:rsidP="00000000" w:rsidRDefault="00000000" w:rsidRPr="00000000" w14:paraId="00000031">
            <w:pPr>
              <w:rPr/>
            </w:pPr>
            <w:r w:rsidDel="00000000" w:rsidR="00000000" w:rsidRPr="00000000">
              <w:rPr>
                <w:b w:val="1"/>
                <w:bCs w:val="1"/>
                <w:rtl w:val="0"/>
              </w:rPr>
              <w:t xml:space="preserve">20 pts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Early-stage accounts have not achieved habituation or ROI proof. Accounts &gt;24 months are deeply embedded into daily operations.</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4. Payment Friction (S_payment)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Debit Card / UPI</w:t>
              <w:br w:type="textWrapping"/>
              <w:t xml:space="preserve">Credit Card</w:t>
              <w:br w:type="textWrapping"/>
              <w:t xml:space="preserve">Bank Transfer</w:t>
            </w:r>
          </w:p>
        </w:tc>
        <w:tc>
          <w:tcPr/>
          <w:p w:rsidR="00000000" w:rsidDel="00000000" w:rsidP="00000000" w:rsidRDefault="00000000" w:rsidRPr="00000000" w14:paraId="00000035">
            <w:pPr>
              <w:rPr/>
            </w:pPr>
            <w:r w:rsidDel="00000000" w:rsidR="00000000" w:rsidRPr="00000000">
              <w:rPr>
                <w:rtl w:val="0"/>
              </w:rPr>
              <w:t xml:space="preserve">5 pts</w:t>
              <w:br w:type="textWrapping"/>
              <w:t xml:space="preserve">2 pts</w:t>
              <w:br w:type="textWrapping"/>
              <w:t xml:space="preserve">0 pts</w:t>
            </w:r>
          </w:p>
        </w:tc>
        <w:tc>
          <w:tcPr/>
          <w:p w:rsidR="00000000" w:rsidDel="00000000" w:rsidP="00000000" w:rsidRDefault="00000000" w:rsidRPr="00000000" w14:paraId="00000036">
            <w:pPr>
              <w:rPr/>
            </w:pPr>
            <w:r w:rsidDel="00000000" w:rsidR="00000000" w:rsidRPr="00000000">
              <w:rPr>
                <w:b w:val="1"/>
                <w:bCs w:val="1"/>
                <w:rtl w:val="0"/>
              </w:rPr>
              <w:t xml:space="preserve">5 pts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Manual re-approval and transactional cards have elevated involuntary churn and lower institutional commitment.</w:t>
            </w:r>
          </w:p>
        </w:tc>
      </w:tr>
    </w:tbl>
    <w:p w:rsidR="00000000" w:rsidDel="00000000" w:rsidP="00000000" w:rsidRDefault="00000000" w:rsidRPr="00000000" w14:paraId="00000038">
      <w:pPr>
        <w:pStyle w:val="Heading4"/>
        <w:rPr/>
      </w:pPr>
      <w:bookmarkStart w:colFirst="0" w:colLast="0" w:name="_2blr7p1vppmx" w:id="7"/>
      <w:bookmarkEnd w:id="7"/>
      <w:r w:rsidDel="00000000" w:rsidR="00000000" w:rsidRPr="00000000">
        <w:rPr>
          <w:b w:val="1"/>
          <w:bCs w:val="1"/>
          <w:rtl w:val="0"/>
        </w:rPr>
        <w:t xml:space="preserve">Operational Triage Bands:</w:t>
      </w:r>
      <w:r w:rsidDel="00000000" w:rsidR="00000000" w:rsidRPr="00000000">
        <w:rPr>
          <w:rtl w:val="0"/>
        </w:rPr>
      </w:r>
    </w:p>
    <w:p w:rsidR="00000000" w:rsidDel="00000000" w:rsidP="00000000" w:rsidRDefault="00000000" w:rsidRPr="00000000" w14:paraId="00000039">
      <w:pPr>
        <w:numPr>
          <w:ilvl w:val="0"/>
          <w:numId w:val="10"/>
        </w:numPr>
        <w:ind w:left="720" w:hanging="360"/>
      </w:pPr>
      <w:r w:rsidDel="00000000" w:rsidR="00000000" w:rsidRPr="00000000">
        <w:rPr>
          <w:b w:val="1"/>
          <w:bCs w:val="1"/>
          <w:rtl w:val="0"/>
        </w:rPr>
        <w:t xml:space="preserve">Low Risk (0 &lt;= Score &lt; 35)</w:t>
      </w:r>
      <w:r w:rsidDel="00000000" w:rsidR="00000000" w:rsidRPr="00000000">
        <w:rPr>
          <w:rtl w:val="0"/>
        </w:rPr>
        <w:t xml:space="preserve">: Account is healthy and contractually stable. Eligible for expansion, case studies, and multi-year renewals.</w:t>
      </w:r>
    </w:p>
    <w:p w:rsidR="00000000" w:rsidDel="00000000" w:rsidP="00000000" w:rsidRDefault="00000000" w:rsidRPr="00000000" w14:paraId="0000003A">
      <w:pPr>
        <w:numPr>
          <w:ilvl w:val="0"/>
          <w:numId w:val="10"/>
        </w:numPr>
        <w:ind w:left="720" w:hanging="360"/>
      </w:pPr>
      <w:r w:rsidDel="00000000" w:rsidR="00000000" w:rsidRPr="00000000">
        <w:rPr>
          <w:b w:val="1"/>
          <w:bCs w:val="1"/>
          <w:rtl w:val="0"/>
        </w:rPr>
        <w:t xml:space="preserve">Medium Risk (35 &lt;= Score &lt; 65)</w:t>
      </w:r>
      <w:r w:rsidDel="00000000" w:rsidR="00000000" w:rsidRPr="00000000">
        <w:rPr>
          <w:rtl w:val="0"/>
        </w:rPr>
        <w:t xml:space="preserve">: Proactive monitoring zone. Identifies unlocked long-term accounts or mid-contract friction accumulation before cancellation decisions crystallize.</w:t>
      </w:r>
    </w:p>
    <w:p w:rsidR="00000000" w:rsidDel="00000000" w:rsidP="00000000" w:rsidRDefault="00000000" w:rsidRPr="00000000" w14:paraId="0000003B">
      <w:pPr>
        <w:numPr>
          <w:ilvl w:val="0"/>
          <w:numId w:val="10"/>
        </w:numPr>
        <w:ind w:left="720" w:hanging="360"/>
      </w:pPr>
      <w:r w:rsidDel="00000000" w:rsidR="00000000" w:rsidRPr="00000000">
        <w:rPr>
          <w:b w:val="1"/>
          <w:bCs w:val="1"/>
          <w:rtl w:val="0"/>
        </w:rPr>
        <w:t xml:space="preserve">High Risk (65 &lt;= Score &lt;= 100)</w:t>
      </w:r>
      <w:r w:rsidDel="00000000" w:rsidR="00000000" w:rsidRPr="00000000">
        <w:rPr>
          <w:rtl w:val="0"/>
        </w:rPr>
        <w:t xml:space="preserve">: Emergency flight risk. Triggers automated alerts to senior CSM leadership and an SLA for 24-hour white-glove intervention.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8u7xhhhfw9nf" w:id="8"/>
      <w:bookmarkEnd w:id="8"/>
      <w:r w:rsidDel="00000000" w:rsidR="00000000" w:rsidRPr="00000000">
        <w:rPr>
          <w:b w:val="1"/>
          <w:bCs w:val="1"/>
          <w:rtl w:val="0"/>
        </w:rPr>
        <w:t xml:space="preserve">4. EMPIRICAL BASELINE VALIDATION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scoring engine was executed across all 15 customer records in the dataset. The resulting risk tiers mapped with 100% accuracy to actual churn behavior:</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Confusion Matrix:</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Actual Churn Status    No (Retained)    Yes (Churned)    Total</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Tier</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High Risk (65–100)           0                7            7</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Medium Risk (35–64)          0                0            0</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 Risk (0–34)              8                0            8</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8                7           15</w:t>
      </w:r>
    </w:p>
    <w:p w:rsidR="00000000" w:rsidDel="00000000" w:rsidP="00000000" w:rsidRDefault="00000000" w:rsidRPr="00000000" w14:paraId="00000046">
      <w:pPr>
        <w:pStyle w:val="Heading4"/>
        <w:rPr/>
      </w:pPr>
      <w:bookmarkStart w:colFirst="0" w:colLast="0" w:name="_7g55piz1s5b1" w:id="9"/>
      <w:bookmarkEnd w:id="9"/>
      <w:r w:rsidDel="00000000" w:rsidR="00000000" w:rsidRPr="00000000">
        <w:rPr>
          <w:color w:val="188038"/>
          <w:rtl w:val="0"/>
        </w:rPr>
        <w:t xml:space="preserve"></w:t>
      </w:r>
      <w:r w:rsidDel="00000000" w:rsidR="00000000" w:rsidRPr="00000000">
        <w:rPr>
          <w:b w:val="1"/>
          <w:bCs w:val="1"/>
          <w:rtl w:val="0"/>
        </w:rPr>
        <w:t xml:space="preserve">Detailed Customer Score Decomposition:</w:t>
      </w:r>
      <w:r w:rsidDel="00000000" w:rsidR="00000000" w:rsidRPr="00000000">
        <w:rPr>
          <w:rtl w:val="0"/>
        </w:rPr>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Retained Cohort (Scores: 2 – 30, Mean: 16.4)</w:t>
      </w:r>
      <w:r w:rsidDel="00000000" w:rsidR="00000000" w:rsidRPr="00000000">
        <w:rPr>
          <w:rtl w:val="0"/>
        </w:rPr>
        <w:t xml:space="preserve">:</w:t>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CUST-1004 (Enterprise, 36m, 0 tix, Two Year): </w:t>
      </w:r>
      <w:r w:rsidDel="00000000" w:rsidR="00000000" w:rsidRPr="00000000">
        <w:rPr>
          <w:b w:val="1"/>
          <w:bCs w:val="1"/>
          <w:rtl w:val="0"/>
        </w:rPr>
        <w:t xml:space="preserve">2 pts</w:t>
      </w:r>
      <w:r w:rsidDel="00000000" w:rsidR="00000000" w:rsidRPr="00000000">
        <w:rPr>
          <w:rtl w:val="0"/>
        </w:rPr>
        <w:t xml:space="preserve"> (Low Risk)</w:t>
      </w:r>
    </w:p>
    <w:p w:rsidR="00000000" w:rsidDel="00000000" w:rsidP="00000000" w:rsidRDefault="00000000" w:rsidRPr="00000000" w14:paraId="00000049">
      <w:pPr>
        <w:numPr>
          <w:ilvl w:val="1"/>
          <w:numId w:val="9"/>
        </w:numPr>
        <w:ind w:left="1440" w:hanging="360"/>
      </w:pPr>
      <w:r w:rsidDel="00000000" w:rsidR="00000000" w:rsidRPr="00000000">
        <w:rPr>
          <w:rtl w:val="0"/>
        </w:rPr>
        <w:t xml:space="preserve">CUST-1011 (Enterprise, 30m, 0 tix, Two Year): </w:t>
      </w:r>
      <w:r w:rsidDel="00000000" w:rsidR="00000000" w:rsidRPr="00000000">
        <w:rPr>
          <w:b w:val="1"/>
          <w:bCs w:val="1"/>
          <w:rtl w:val="0"/>
        </w:rPr>
        <w:t xml:space="preserve">2 pts</w:t>
      </w:r>
      <w:r w:rsidDel="00000000" w:rsidR="00000000" w:rsidRPr="00000000">
        <w:rPr>
          <w:rtl w:val="0"/>
        </w:rPr>
        <w:t xml:space="preserve"> (Low Risk)</w:t>
      </w:r>
    </w:p>
    <w:p w:rsidR="00000000" w:rsidDel="00000000" w:rsidP="00000000" w:rsidRDefault="00000000" w:rsidRPr="00000000" w14:paraId="0000004A">
      <w:pPr>
        <w:numPr>
          <w:ilvl w:val="1"/>
          <w:numId w:val="9"/>
        </w:numPr>
        <w:ind w:left="1440" w:hanging="360"/>
      </w:pPr>
      <w:r w:rsidDel="00000000" w:rsidR="00000000" w:rsidRPr="00000000">
        <w:rPr>
          <w:rtl w:val="0"/>
        </w:rPr>
        <w:t xml:space="preserve">CUST-1008 (Enterprise, 48m, 1 tix, Two Year): </w:t>
      </w:r>
      <w:r w:rsidDel="00000000" w:rsidR="00000000" w:rsidRPr="00000000">
        <w:rPr>
          <w:b w:val="1"/>
          <w:bCs w:val="1"/>
          <w:rtl w:val="0"/>
        </w:rPr>
        <w:t xml:space="preserve">10 pts</w:t>
      </w:r>
      <w:r w:rsidDel="00000000" w:rsidR="00000000" w:rsidRPr="00000000">
        <w:rPr>
          <w:rtl w:val="0"/>
        </w:rPr>
        <w:t xml:space="preserve"> (Low Risk)</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CUST-1015 (Enterprise, 40m, 1 tix, Two Year): </w:t>
      </w:r>
      <w:r w:rsidDel="00000000" w:rsidR="00000000" w:rsidRPr="00000000">
        <w:rPr>
          <w:b w:val="1"/>
          <w:bCs w:val="1"/>
          <w:rtl w:val="0"/>
        </w:rPr>
        <w:t xml:space="preserve">12 pts</w:t>
      </w:r>
      <w:r w:rsidDel="00000000" w:rsidR="00000000" w:rsidRPr="00000000">
        <w:rPr>
          <w:rtl w:val="0"/>
        </w:rPr>
        <w:t xml:space="preserve"> (Low Risk)</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CUST-1002 (Pro, 24m, 1 tix, One Year): </w:t>
      </w:r>
      <w:r w:rsidDel="00000000" w:rsidR="00000000" w:rsidRPr="00000000">
        <w:rPr>
          <w:b w:val="1"/>
          <w:bCs w:val="1"/>
          <w:rtl w:val="0"/>
        </w:rPr>
        <w:t xml:space="preserve">25 pts</w:t>
      </w:r>
      <w:r w:rsidDel="00000000" w:rsidR="00000000" w:rsidRPr="00000000">
        <w:rPr>
          <w:rtl w:val="0"/>
        </w:rPr>
        <w:t xml:space="preserve"> (Low Risk)</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CUST-1013 (Basic, 22m, 1 tix, One Year): </w:t>
      </w:r>
      <w:r w:rsidDel="00000000" w:rsidR="00000000" w:rsidRPr="00000000">
        <w:rPr>
          <w:b w:val="1"/>
          <w:bCs w:val="1"/>
          <w:rtl w:val="0"/>
        </w:rPr>
        <w:t xml:space="preserve">25 pts</w:t>
      </w:r>
      <w:r w:rsidDel="00000000" w:rsidR="00000000" w:rsidRPr="00000000">
        <w:rPr>
          <w:rtl w:val="0"/>
        </w:rPr>
        <w:t xml:space="preserve"> (Low Risk)</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CUST-1009 (Pro, 15m, 2 tix, One Year): </w:t>
      </w:r>
      <w:r w:rsidDel="00000000" w:rsidR="00000000" w:rsidRPr="00000000">
        <w:rPr>
          <w:b w:val="1"/>
          <w:bCs w:val="1"/>
          <w:rtl w:val="0"/>
        </w:rPr>
        <w:t xml:space="preserve">27 pts</w:t>
      </w:r>
      <w:r w:rsidDel="00000000" w:rsidR="00000000" w:rsidRPr="00000000">
        <w:rPr>
          <w:rtl w:val="0"/>
        </w:rPr>
        <w:t xml:space="preserve"> (Low Risk)</w:t>
      </w:r>
    </w:p>
    <w:p w:rsidR="00000000" w:rsidDel="00000000" w:rsidP="00000000" w:rsidRDefault="00000000" w:rsidRPr="00000000" w14:paraId="0000004F">
      <w:pPr>
        <w:numPr>
          <w:ilvl w:val="1"/>
          <w:numId w:val="9"/>
        </w:numPr>
        <w:ind w:left="1440" w:hanging="360"/>
      </w:pPr>
      <w:r w:rsidDel="00000000" w:rsidR="00000000" w:rsidRPr="00000000">
        <w:rPr>
          <w:rtl w:val="0"/>
        </w:rPr>
        <w:t xml:space="preserve">CUST-1006 (Basic, 18m, 2 tix, One Year): </w:t>
      </w:r>
      <w:r w:rsidDel="00000000" w:rsidR="00000000" w:rsidRPr="00000000">
        <w:rPr>
          <w:b w:val="1"/>
          <w:bCs w:val="1"/>
          <w:rtl w:val="0"/>
        </w:rPr>
        <w:t xml:space="preserve">30 pts</w:t>
      </w:r>
      <w:r w:rsidDel="00000000" w:rsidR="00000000" w:rsidRPr="00000000">
        <w:rPr>
          <w:rtl w:val="0"/>
        </w:rPr>
        <w:t xml:space="preserve"> (Low Risk)</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Churned Cohort (Scores: 75 – 100, Mean: 89.0)</w:t>
      </w:r>
      <w:r w:rsidDel="00000000" w:rsidR="00000000" w:rsidRPr="00000000">
        <w:rPr>
          <w:rtl w:val="0"/>
        </w:rPr>
        <w:t xml:space="preserve">:</w:t>
      </w:r>
    </w:p>
    <w:p w:rsidR="00000000" w:rsidDel="00000000" w:rsidP="00000000" w:rsidRDefault="00000000" w:rsidRPr="00000000" w14:paraId="00000051">
      <w:pPr>
        <w:numPr>
          <w:ilvl w:val="1"/>
          <w:numId w:val="9"/>
        </w:numPr>
        <w:ind w:left="1440" w:hanging="360"/>
      </w:pPr>
      <w:r w:rsidDel="00000000" w:rsidR="00000000" w:rsidRPr="00000000">
        <w:rPr>
          <w:rtl w:val="0"/>
        </w:rPr>
        <w:t xml:space="preserve">CUST-1012 (Pro, 14m, 3 tix, M2M): </w:t>
      </w:r>
      <w:r w:rsidDel="00000000" w:rsidR="00000000" w:rsidRPr="00000000">
        <w:rPr>
          <w:b w:val="1"/>
          <w:bCs w:val="1"/>
          <w:rtl w:val="0"/>
        </w:rPr>
        <w:t xml:space="preserve">75 pts</w:t>
      </w:r>
      <w:r w:rsidDel="00000000" w:rsidR="00000000" w:rsidRPr="00000000">
        <w:rPr>
          <w:rtl w:val="0"/>
        </w:rPr>
        <w:t xml:space="preserve"> (High Risk)</w:t>
      </w:r>
    </w:p>
    <w:p w:rsidR="00000000" w:rsidDel="00000000" w:rsidP="00000000" w:rsidRDefault="00000000" w:rsidRPr="00000000" w14:paraId="00000052">
      <w:pPr>
        <w:numPr>
          <w:ilvl w:val="1"/>
          <w:numId w:val="9"/>
        </w:numPr>
        <w:ind w:left="1440" w:hanging="360"/>
      </w:pPr>
      <w:r w:rsidDel="00000000" w:rsidR="00000000" w:rsidRPr="00000000">
        <w:rPr>
          <w:rtl w:val="0"/>
        </w:rPr>
        <w:t xml:space="preserve">CUST-1001 (Basic, 12m, 3 tix, M2M): </w:t>
      </w:r>
      <w:r w:rsidDel="00000000" w:rsidR="00000000" w:rsidRPr="00000000">
        <w:rPr>
          <w:b w:val="1"/>
          <w:bCs w:val="1"/>
          <w:rtl w:val="0"/>
        </w:rPr>
        <w:t xml:space="preserve">79 pts</w:t>
      </w:r>
      <w:r w:rsidDel="00000000" w:rsidR="00000000" w:rsidRPr="00000000">
        <w:rPr>
          <w:rtl w:val="0"/>
        </w:rPr>
        <w:t xml:space="preserve"> (High Risk)</w:t>
      </w:r>
    </w:p>
    <w:p w:rsidR="00000000" w:rsidDel="00000000" w:rsidP="00000000" w:rsidRDefault="00000000" w:rsidRPr="00000000" w14:paraId="00000053">
      <w:pPr>
        <w:numPr>
          <w:ilvl w:val="1"/>
          <w:numId w:val="9"/>
        </w:numPr>
        <w:ind w:left="1440" w:hanging="360"/>
      </w:pPr>
      <w:r w:rsidDel="00000000" w:rsidR="00000000" w:rsidRPr="00000000">
        <w:rPr>
          <w:rtl w:val="0"/>
        </w:rPr>
        <w:t xml:space="preserve">CUST-1005 (Pro, 8m, 4 tix, M2M): </w:t>
      </w:r>
      <w:r w:rsidDel="00000000" w:rsidR="00000000" w:rsidRPr="00000000">
        <w:rPr>
          <w:b w:val="1"/>
          <w:bCs w:val="1"/>
          <w:rtl w:val="0"/>
        </w:rPr>
        <w:t xml:space="preserve">82 pts</w:t>
      </w:r>
      <w:r w:rsidDel="00000000" w:rsidR="00000000" w:rsidRPr="00000000">
        <w:rPr>
          <w:rtl w:val="0"/>
        </w:rPr>
        <w:t xml:space="preserve"> (High Risk)</w:t>
      </w:r>
    </w:p>
    <w:p w:rsidR="00000000" w:rsidDel="00000000" w:rsidP="00000000" w:rsidRDefault="00000000" w:rsidRPr="00000000" w14:paraId="00000054">
      <w:pPr>
        <w:numPr>
          <w:ilvl w:val="1"/>
          <w:numId w:val="9"/>
        </w:numPr>
        <w:ind w:left="1440" w:hanging="360"/>
      </w:pPr>
      <w:r w:rsidDel="00000000" w:rsidR="00000000" w:rsidRPr="00000000">
        <w:rPr>
          <w:rtl w:val="0"/>
        </w:rPr>
        <w:t xml:space="preserve">CUST-1010 (Basic, 4m, 4 tix, M2M): </w:t>
      </w:r>
      <w:r w:rsidDel="00000000" w:rsidR="00000000" w:rsidRPr="00000000">
        <w:rPr>
          <w:b w:val="1"/>
          <w:bCs w:val="1"/>
          <w:rtl w:val="0"/>
        </w:rPr>
        <w:t xml:space="preserve">90 pts</w:t>
      </w:r>
      <w:r w:rsidDel="00000000" w:rsidR="00000000" w:rsidRPr="00000000">
        <w:rPr>
          <w:rtl w:val="0"/>
        </w:rPr>
        <w:t xml:space="preserve"> (High Risk)</w:t>
      </w:r>
    </w:p>
    <w:p w:rsidR="00000000" w:rsidDel="00000000" w:rsidP="00000000" w:rsidRDefault="00000000" w:rsidRPr="00000000" w14:paraId="00000055">
      <w:pPr>
        <w:numPr>
          <w:ilvl w:val="1"/>
          <w:numId w:val="9"/>
        </w:numPr>
        <w:ind w:left="1440" w:hanging="360"/>
      </w:pPr>
      <w:r w:rsidDel="00000000" w:rsidR="00000000" w:rsidRPr="00000000">
        <w:rPr>
          <w:rtl w:val="0"/>
        </w:rPr>
        <w:t xml:space="preserve">CUST-1007 (Basic, 3m, 6 tix, M2M): </w:t>
      </w:r>
      <w:r w:rsidDel="00000000" w:rsidR="00000000" w:rsidRPr="00000000">
        <w:rPr>
          <w:b w:val="1"/>
          <w:bCs w:val="1"/>
          <w:rtl w:val="0"/>
        </w:rPr>
        <w:t xml:space="preserve">97 pts</w:t>
      </w:r>
      <w:r w:rsidDel="00000000" w:rsidR="00000000" w:rsidRPr="00000000">
        <w:rPr>
          <w:rtl w:val="0"/>
        </w:rPr>
        <w:t xml:space="preserve"> (High Risk)</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CUST-1003 (Basic, 6m, 5 tix, M2M): </w:t>
      </w:r>
      <w:r w:rsidDel="00000000" w:rsidR="00000000" w:rsidRPr="00000000">
        <w:rPr>
          <w:b w:val="1"/>
          <w:bCs w:val="1"/>
          <w:rtl w:val="0"/>
        </w:rPr>
        <w:t xml:space="preserve">100 pts</w:t>
      </w:r>
      <w:r w:rsidDel="00000000" w:rsidR="00000000" w:rsidRPr="00000000">
        <w:rPr>
          <w:rtl w:val="0"/>
        </w:rPr>
        <w:t xml:space="preserve"> (High Risk)</w:t>
      </w:r>
    </w:p>
    <w:p w:rsidR="00000000" w:rsidDel="00000000" w:rsidP="00000000" w:rsidRDefault="00000000" w:rsidRPr="00000000" w14:paraId="00000057">
      <w:pPr>
        <w:numPr>
          <w:ilvl w:val="1"/>
          <w:numId w:val="9"/>
        </w:numPr>
        <w:ind w:left="1440" w:hanging="360"/>
      </w:pPr>
      <w:r w:rsidDel="00000000" w:rsidR="00000000" w:rsidRPr="00000000">
        <w:rPr>
          <w:rtl w:val="0"/>
        </w:rPr>
        <w:t xml:space="preserve">CUST-1014 (Basic, 2m, 5 tix, M2M): </w:t>
      </w:r>
      <w:r w:rsidDel="00000000" w:rsidR="00000000" w:rsidRPr="00000000">
        <w:rPr>
          <w:b w:val="1"/>
          <w:bCs w:val="1"/>
          <w:rtl w:val="0"/>
        </w:rPr>
        <w:t xml:space="preserve">100 pts</w:t>
      </w:r>
      <w:r w:rsidDel="00000000" w:rsidR="00000000" w:rsidRPr="00000000">
        <w:rPr>
          <w:rtl w:val="0"/>
        </w:rPr>
        <w:t xml:space="preserve"> (High Risk)</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l6tsx0y1rk37" w:id="10"/>
      <w:bookmarkEnd w:id="10"/>
      <w:r w:rsidDel="00000000" w:rsidR="00000000" w:rsidRPr="00000000">
        <w:rPr>
          <w:b w:val="1"/>
          <w:bCs w:val="1"/>
          <w:rtl w:val="0"/>
        </w:rPr>
        <w:t xml:space="preserve">5. EDGE CASE STRESS TESTING &amp; BOUNDARY VALIDATION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guarantee that the rule-based architecture remains reliable in production across unobserved combinations, we evaluated six synthetic edge cases:</w:t>
      </w:r>
    </w:p>
    <w:p w:rsidR="00000000" w:rsidDel="00000000" w:rsidP="00000000" w:rsidRDefault="00000000" w:rsidRPr="00000000" w14:paraId="0000005B">
      <w:pPr>
        <w:numPr>
          <w:ilvl w:val="0"/>
          <w:numId w:val="8"/>
        </w:numPr>
        <w:ind w:left="720" w:hanging="360"/>
      </w:pPr>
      <w:r w:rsidDel="00000000" w:rsidR="00000000" w:rsidRPr="00000000">
        <w:rPr>
          <w:b w:val="1"/>
          <w:bCs w:val="1"/>
          <w:rtl w:val="0"/>
        </w:rPr>
        <w:t xml:space="preserve">EDGE-01: Fresh Onboarding On-Track (Tenure=1m, M2M, 0 tickets, Credit Card)</w:t>
      </w:r>
      <w:r w:rsidDel="00000000" w:rsidR="00000000" w:rsidRPr="00000000">
        <w:rPr>
          <w:rtl w:val="0"/>
        </w:rPr>
      </w:r>
    </w:p>
    <w:p w:rsidR="00000000" w:rsidDel="00000000" w:rsidP="00000000" w:rsidRDefault="00000000" w:rsidRPr="00000000" w14:paraId="0000005C">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40 (M2M) + 0 (Support) + 20 (Tenure &lt;= 6) + 2 (CC) = </w:t>
      </w:r>
      <w:r w:rsidDel="00000000" w:rsidR="00000000" w:rsidRPr="00000000">
        <w:rPr>
          <w:b w:val="1"/>
          <w:bCs w:val="1"/>
          <w:rtl w:val="0"/>
        </w:rPr>
        <w:t xml:space="preserve">62 (Medium Risk)</w:t>
      </w:r>
      <w:r w:rsidDel="00000000" w:rsidR="00000000" w:rsidRPr="00000000">
        <w:rPr>
          <w:rtl w:val="0"/>
        </w:rPr>
      </w:r>
    </w:p>
    <w:p w:rsidR="00000000" w:rsidDel="00000000" w:rsidP="00000000" w:rsidRDefault="00000000" w:rsidRPr="00000000" w14:paraId="0000005D">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Accurately captures high baseline vulnerability of uncontracted onboarding accounts without generating false High-Risk panic. Ensures onboarding check-in occurs.</w:t>
      </w:r>
    </w:p>
    <w:p w:rsidR="00000000" w:rsidDel="00000000" w:rsidP="00000000" w:rsidRDefault="00000000" w:rsidRPr="00000000" w14:paraId="0000005E">
      <w:pPr>
        <w:numPr>
          <w:ilvl w:val="0"/>
          <w:numId w:val="8"/>
        </w:numPr>
        <w:ind w:left="720" w:hanging="360"/>
      </w:pPr>
      <w:r w:rsidDel="00000000" w:rsidR="00000000" w:rsidRPr="00000000">
        <w:rPr>
          <w:b w:val="1"/>
          <w:bCs w:val="1"/>
          <w:rtl w:val="0"/>
        </w:rPr>
        <w:t xml:space="preserve">EDGE-02: Acute Onboarding Crisis (Tenure=1m, M2M, 5 tickets, UPI)</w:t>
      </w:r>
      <w:r w:rsidDel="00000000" w:rsidR="00000000" w:rsidRPr="00000000">
        <w:rPr>
          <w:rtl w:val="0"/>
        </w:rPr>
      </w:r>
    </w:p>
    <w:p w:rsidR="00000000" w:rsidDel="00000000" w:rsidP="00000000" w:rsidRDefault="00000000" w:rsidRPr="00000000" w14:paraId="0000005F">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40 (M2M) + 35 (Support) + 20 (Tenure &lt;= 6) + 5 (UPI) = </w:t>
      </w:r>
      <w:r w:rsidDel="00000000" w:rsidR="00000000" w:rsidRPr="00000000">
        <w:rPr>
          <w:b w:val="1"/>
          <w:bCs w:val="1"/>
          <w:rtl w:val="0"/>
        </w:rPr>
        <w:t xml:space="preserve">100 (High Risk)</w:t>
      </w:r>
      <w:r w:rsidDel="00000000" w:rsidR="00000000" w:rsidRPr="00000000">
        <w:rPr>
          <w:rtl w:val="0"/>
        </w:rPr>
      </w:r>
    </w:p>
    <w:p w:rsidR="00000000" w:rsidDel="00000000" w:rsidP="00000000" w:rsidRDefault="00000000" w:rsidRPr="00000000" w14:paraId="00000060">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The velocity override instantly flags this account as a critical Day-1 emergency. Triggers immediate executive engineering outreach to rescue onboarding.</w:t>
      </w:r>
    </w:p>
    <w:p w:rsidR="00000000" w:rsidDel="00000000" w:rsidP="00000000" w:rsidRDefault="00000000" w:rsidRPr="00000000" w14:paraId="00000061">
      <w:pPr>
        <w:numPr>
          <w:ilvl w:val="0"/>
          <w:numId w:val="8"/>
        </w:numPr>
        <w:ind w:left="720" w:hanging="360"/>
      </w:pPr>
      <w:r w:rsidDel="00000000" w:rsidR="00000000" w:rsidRPr="00000000">
        <w:rPr>
          <w:b w:val="1"/>
          <w:bCs w:val="1"/>
          <w:rtl w:val="0"/>
        </w:rPr>
        <w:t xml:space="preserve">EDGE-03: Enterprise Friction Storm (Tenure=36m, Two Year, 6 tickets, Bank Transfer)</w:t>
      </w:r>
      <w:r w:rsidDel="00000000" w:rsidR="00000000" w:rsidRPr="00000000">
        <w:rPr>
          <w:rtl w:val="0"/>
        </w:rPr>
      </w:r>
    </w:p>
    <w:p w:rsidR="00000000" w:rsidDel="00000000" w:rsidP="00000000" w:rsidRDefault="00000000" w:rsidRPr="00000000" w14:paraId="00000062">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0 (Two Year) + 35 (Support) + 0 (Tenure &gt;24) + 0 (Bank Transfer) = </w:t>
      </w:r>
      <w:r w:rsidDel="00000000" w:rsidR="00000000" w:rsidRPr="00000000">
        <w:rPr>
          <w:b w:val="1"/>
          <w:bCs w:val="1"/>
          <w:rtl w:val="0"/>
        </w:rPr>
        <w:t xml:space="preserve">35 (Medium Risk)</w:t>
      </w:r>
      <w:r w:rsidDel="00000000" w:rsidR="00000000" w:rsidRPr="00000000">
        <w:rPr>
          <w:rtl w:val="0"/>
        </w:rPr>
      </w:r>
    </w:p>
    <w:p w:rsidR="00000000" w:rsidDel="00000000" w:rsidP="00000000" w:rsidRDefault="00000000" w:rsidRPr="00000000" w14:paraId="00000063">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The multi-year contract prevents immediate contract termination, keeping the score out of High Risk. However, the score crosses into Medium Risk, triggering an executive Technical Escalation flag to safeguard the upcoming renewal.</w:t>
      </w:r>
    </w:p>
    <w:p w:rsidR="00000000" w:rsidDel="00000000" w:rsidP="00000000" w:rsidRDefault="00000000" w:rsidRPr="00000000" w14:paraId="00000064">
      <w:pPr>
        <w:numPr>
          <w:ilvl w:val="0"/>
          <w:numId w:val="8"/>
        </w:numPr>
        <w:ind w:left="720" w:hanging="360"/>
      </w:pPr>
      <w:r w:rsidDel="00000000" w:rsidR="00000000" w:rsidRPr="00000000">
        <w:rPr>
          <w:b w:val="1"/>
          <w:bCs w:val="1"/>
          <w:rtl w:val="0"/>
        </w:rPr>
        <w:t xml:space="preserve">EDGE-04: Unlocked Veteran Inertia (Tenure=36m, M2M, 0 tickets, Bank Transfer)</w:t>
      </w:r>
      <w:r w:rsidDel="00000000" w:rsidR="00000000" w:rsidRPr="00000000">
        <w:rPr>
          <w:rtl w:val="0"/>
        </w:rPr>
      </w:r>
    </w:p>
    <w:p w:rsidR="00000000" w:rsidDel="00000000" w:rsidP="00000000" w:rsidRDefault="00000000" w:rsidRPr="00000000" w14:paraId="00000065">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40 (M2M) + 0 (Support) + 0 (Tenure &gt;24) + 0 (Bank Transfer) = </w:t>
      </w:r>
      <w:r w:rsidDel="00000000" w:rsidR="00000000" w:rsidRPr="00000000">
        <w:rPr>
          <w:b w:val="1"/>
          <w:bCs w:val="1"/>
          <w:rtl w:val="0"/>
        </w:rPr>
        <w:t xml:space="preserve">40 (Medium Risk)</w:t>
      </w:r>
      <w:r w:rsidDel="00000000" w:rsidR="00000000" w:rsidRPr="00000000">
        <w:rPr>
          <w:rtl w:val="0"/>
        </w:rPr>
      </w:r>
    </w:p>
    <w:p w:rsidR="00000000" w:rsidDel="00000000" w:rsidP="00000000" w:rsidRDefault="00000000" w:rsidRPr="00000000" w14:paraId="00000066">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Correctly detects contract vulnerability in an otherwise satisfied veteran customer. Prompts Sales/CSM to offer an annual plan discount before a competitor poaches the account.</w:t>
      </w:r>
    </w:p>
    <w:p w:rsidR="00000000" w:rsidDel="00000000" w:rsidP="00000000" w:rsidRDefault="00000000" w:rsidRPr="00000000" w14:paraId="00000067">
      <w:pPr>
        <w:numPr>
          <w:ilvl w:val="0"/>
          <w:numId w:val="8"/>
        </w:numPr>
        <w:ind w:left="720" w:hanging="360"/>
      </w:pPr>
      <w:r w:rsidDel="00000000" w:rsidR="00000000" w:rsidRPr="00000000">
        <w:rPr>
          <w:b w:val="1"/>
          <w:bCs w:val="1"/>
          <w:rtl w:val="0"/>
        </w:rPr>
        <w:t xml:space="preserve">EDGE-05: Mid-Contract Friction Build-Up (Tenure=8m, One Year, 4 tickets, Credit Card)</w:t>
      </w:r>
      <w:r w:rsidDel="00000000" w:rsidR="00000000" w:rsidRPr="00000000">
        <w:rPr>
          <w:rtl w:val="0"/>
        </w:rPr>
      </w:r>
    </w:p>
    <w:p w:rsidR="00000000" w:rsidDel="00000000" w:rsidP="00000000" w:rsidRDefault="00000000" w:rsidRPr="00000000" w14:paraId="00000068">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10 (One Year) + 25 (Support) + 12 (Tenure 7–12) + 2 (CC) = </w:t>
      </w:r>
      <w:r w:rsidDel="00000000" w:rsidR="00000000" w:rsidRPr="00000000">
        <w:rPr>
          <w:b w:val="1"/>
          <w:bCs w:val="1"/>
          <w:rtl w:val="0"/>
        </w:rPr>
        <w:t xml:space="preserve">49 (Medium Risk)</w:t>
      </w:r>
      <w:r w:rsidDel="00000000" w:rsidR="00000000" w:rsidRPr="00000000">
        <w:rPr>
          <w:rtl w:val="0"/>
        </w:rPr>
      </w:r>
    </w:p>
    <w:p w:rsidR="00000000" w:rsidDel="00000000" w:rsidP="00000000" w:rsidRDefault="00000000" w:rsidRPr="00000000" w14:paraId="00000069">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Customer cannot exit immediately due to the annual contract, but friction will cause non-renewal at Month 12. Generates an alert 4 months prior to renewal window, allowing root-cause ticket resolution.</w:t>
      </w:r>
    </w:p>
    <w:p w:rsidR="00000000" w:rsidDel="00000000" w:rsidP="00000000" w:rsidRDefault="00000000" w:rsidRPr="00000000" w14:paraId="0000006A">
      <w:pPr>
        <w:numPr>
          <w:ilvl w:val="0"/>
          <w:numId w:val="8"/>
        </w:numPr>
        <w:ind w:left="720" w:hanging="360"/>
      </w:pPr>
      <w:r w:rsidDel="00000000" w:rsidR="00000000" w:rsidRPr="00000000">
        <w:rPr>
          <w:b w:val="1"/>
          <w:bCs w:val="1"/>
          <w:rtl w:val="0"/>
        </w:rPr>
        <w:t xml:space="preserve">EDGE-06: Boundary Zero &amp; Missing Data Handling (Tenure=0m, Unknown Contract, Unknown Payment)</w:t>
      </w:r>
      <w:r w:rsidDel="00000000" w:rsidR="00000000" w:rsidRPr="00000000">
        <w:rPr>
          <w:rtl w:val="0"/>
        </w:rPr>
      </w:r>
    </w:p>
    <w:p w:rsidR="00000000" w:rsidDel="00000000" w:rsidP="00000000" w:rsidRDefault="00000000" w:rsidRPr="00000000" w14:paraId="0000006B">
      <w:pPr>
        <w:numPr>
          <w:ilvl w:val="1"/>
          <w:numId w:val="8"/>
        </w:numPr>
        <w:ind w:left="1440" w:hanging="360"/>
      </w:pPr>
      <w:r w:rsidDel="00000000" w:rsidR="00000000" w:rsidRPr="00000000">
        <w:rPr>
          <w:i w:val="1"/>
          <w:iCs w:val="1"/>
          <w:rtl w:val="0"/>
        </w:rPr>
        <w:t xml:space="preserve">Score</w:t>
      </w:r>
      <w:r w:rsidDel="00000000" w:rsidR="00000000" w:rsidRPr="00000000">
        <w:rPr>
          <w:rtl w:val="0"/>
        </w:rPr>
        <w:t xml:space="preserve">: 20 (Default Contract) + 0 (Support) + 20 (Tenure &lt;= 6) + 3 (Default Payment) = </w:t>
      </w:r>
      <w:r w:rsidDel="00000000" w:rsidR="00000000" w:rsidRPr="00000000">
        <w:rPr>
          <w:b w:val="1"/>
          <w:bCs w:val="1"/>
          <w:rtl w:val="0"/>
        </w:rPr>
        <w:t xml:space="preserve">43 (Medium Risk)</w:t>
      </w:r>
      <w:r w:rsidDel="00000000" w:rsidR="00000000" w:rsidRPr="00000000">
        <w:rPr>
          <w:rtl w:val="0"/>
        </w:rPr>
      </w:r>
    </w:p>
    <w:p w:rsidR="00000000" w:rsidDel="00000000" w:rsidP="00000000" w:rsidRDefault="00000000" w:rsidRPr="00000000" w14:paraId="0000006C">
      <w:pPr>
        <w:numPr>
          <w:ilvl w:val="1"/>
          <w:numId w:val="8"/>
        </w:numPr>
        <w:ind w:left="1440" w:hanging="360"/>
      </w:pPr>
      <w:r w:rsidDel="00000000" w:rsidR="00000000" w:rsidRPr="00000000">
        <w:rPr>
          <w:i w:val="1"/>
          <w:iCs w:val="1"/>
          <w:rtl w:val="0"/>
        </w:rPr>
        <w:t xml:space="preserve">Validation Insight</w:t>
      </w:r>
      <w:r w:rsidDel="00000000" w:rsidR="00000000" w:rsidRPr="00000000">
        <w:rPr>
          <w:rtl w:val="0"/>
        </w:rPr>
        <w:t xml:space="preserve">: Defensive fallbacks prevent division-by-zero or system crashes when processing incomplete or brand-new Day-0 sign-up records.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t50msd5mdoz3" w:id="11"/>
      <w:bookmarkEnd w:id="11"/>
      <w:r w:rsidDel="00000000" w:rsidR="00000000" w:rsidRPr="00000000">
        <w:rPr>
          <w:b w:val="1"/>
          <w:bCs w:val="1"/>
          <w:rtl w:val="0"/>
        </w:rPr>
        <w:t xml:space="preserve">6. CUSTOMER COHORT SEGMENTATION TAXONOMY &amp; SUMMARY TABLE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Cross-referencing customer economic value with contract commitment and behavioral friction yields six granular cohorts organized into four strategic tiers:</w:t>
      </w:r>
    </w:p>
    <w:tbl>
      <w:tblPr>
        <w:tblStyle w:val="Table2"/>
        <w:tblW w:w="11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500"/>
        <w:gridCol w:w="600"/>
        <w:gridCol w:w="900"/>
        <w:gridCol w:w="900"/>
        <w:gridCol w:w="900"/>
        <w:gridCol w:w="1100"/>
        <w:gridCol w:w="1100"/>
        <w:gridCol w:w="700"/>
        <w:gridCol w:w="700"/>
        <w:gridCol w:w="1100"/>
        <w:tblGridChange w:id="0">
          <w:tblGrid>
            <w:gridCol w:w="1700"/>
            <w:gridCol w:w="1500"/>
            <w:gridCol w:w="600"/>
            <w:gridCol w:w="900"/>
            <w:gridCol w:w="900"/>
            <w:gridCol w:w="900"/>
            <w:gridCol w:w="1100"/>
            <w:gridCol w:w="1100"/>
            <w:gridCol w:w="700"/>
            <w:gridCol w:w="700"/>
            <w:gridCol w:w="1100"/>
          </w:tblGrid>
        </w:tblGridChange>
      </w:tblGrid>
      <w:tr>
        <w:trPr>
          <w:cantSplit w:val="0"/>
          <w:tblHeader w:val="1"/>
        </w:trPr>
        <w:tc>
          <w:tcPr>
            <w:shd w:fill="e6e6e6" w:val="clear"/>
          </w:tcPr>
          <w:p w:rsidR="00000000" w:rsidDel="00000000" w:rsidP="00000000" w:rsidRDefault="00000000" w:rsidRPr="00000000" w14:paraId="00000070">
            <w:pPr>
              <w:rPr/>
            </w:pPr>
            <w:r w:rsidDel="00000000" w:rsidR="00000000" w:rsidRPr="00000000">
              <w:rPr>
                <w:b w:val="1"/>
                <w:bCs w:val="1"/>
                <w:rtl w:val="0"/>
              </w:rPr>
              <w:t xml:space="preserve">Granular Segment</w:t>
            </w:r>
            <w:r w:rsidDel="00000000" w:rsidR="00000000" w:rsidRPr="00000000">
              <w:rPr>
                <w:rtl w:val="0"/>
              </w:rPr>
            </w:r>
          </w:p>
        </w:tc>
        <w:tc>
          <w:tcPr>
            <w:shd w:fill="e6e6e6" w:val="clear"/>
          </w:tcPr>
          <w:p w:rsidR="00000000" w:rsidDel="00000000" w:rsidP="00000000" w:rsidRDefault="00000000" w:rsidRPr="00000000" w14:paraId="00000071">
            <w:pPr>
              <w:rPr/>
            </w:pPr>
            <w:r w:rsidDel="00000000" w:rsidR="00000000" w:rsidRPr="00000000">
              <w:rPr>
                <w:b w:val="1"/>
                <w:bCs w:val="1"/>
                <w:rtl w:val="0"/>
              </w:rPr>
              <w:t xml:space="preserve">Strategic Tier</w:t>
            </w:r>
            <w:r w:rsidDel="00000000" w:rsidR="00000000" w:rsidRPr="00000000">
              <w:rPr>
                <w:rtl w:val="0"/>
              </w:rPr>
            </w:r>
          </w:p>
        </w:tc>
        <w:tc>
          <w:tcPr>
            <w:shd w:fill="e6e6e6" w:val="clear"/>
          </w:tcPr>
          <w:p w:rsidR="00000000" w:rsidDel="00000000" w:rsidP="00000000" w:rsidRDefault="00000000" w:rsidRPr="00000000" w14:paraId="00000072">
            <w:pPr>
              <w:rPr/>
            </w:pPr>
            <w:r w:rsidDel="00000000" w:rsidR="00000000" w:rsidRPr="00000000">
              <w:rPr>
                <w:b w:val="1"/>
                <w:bCs w:val="1"/>
                <w:rtl w:val="0"/>
              </w:rPr>
              <w:t xml:space="preserve">Size</w:t>
            </w:r>
            <w:r w:rsidDel="00000000" w:rsidR="00000000" w:rsidRPr="00000000">
              <w:rPr>
                <w:rtl w:val="0"/>
              </w:rPr>
            </w:r>
          </w:p>
        </w:tc>
        <w:tc>
          <w:tcPr>
            <w:shd w:fill="e6e6e6" w:val="clear"/>
          </w:tcPr>
          <w:p w:rsidR="00000000" w:rsidDel="00000000" w:rsidP="00000000" w:rsidRDefault="00000000" w:rsidRPr="00000000" w14:paraId="00000073">
            <w:pPr>
              <w:rPr/>
            </w:pPr>
            <w:r w:rsidDel="00000000" w:rsidR="00000000" w:rsidRPr="00000000">
              <w:rPr>
                <w:b w:val="1"/>
                <w:bCs w:val="1"/>
                <w:rtl w:val="0"/>
              </w:rPr>
              <w:t xml:space="preserve">Churn Rate</w:t>
            </w:r>
            <w:r w:rsidDel="00000000" w:rsidR="00000000" w:rsidRPr="00000000">
              <w:rPr>
                <w:rtl w:val="0"/>
              </w:rPr>
            </w:r>
          </w:p>
        </w:tc>
        <w:tc>
          <w:tcPr>
            <w:shd w:fill="e6e6e6" w:val="clear"/>
          </w:tcPr>
          <w:p w:rsidR="00000000" w:rsidDel="00000000" w:rsidP="00000000" w:rsidRDefault="00000000" w:rsidRPr="00000000" w14:paraId="00000074">
            <w:pPr>
              <w:rPr/>
            </w:pPr>
            <w:r w:rsidDel="00000000" w:rsidR="00000000" w:rsidRPr="00000000">
              <w:rPr>
                <w:b w:val="1"/>
                <w:bCs w:val="1"/>
                <w:rtl w:val="0"/>
              </w:rPr>
              <w:t xml:space="preserve">Avg Tenure</w:t>
            </w:r>
            <w:r w:rsidDel="00000000" w:rsidR="00000000" w:rsidRPr="00000000">
              <w:rPr>
                <w:rtl w:val="0"/>
              </w:rPr>
            </w:r>
          </w:p>
        </w:tc>
        <w:tc>
          <w:tcPr>
            <w:shd w:fill="e6e6e6" w:val="clear"/>
          </w:tcPr>
          <w:p w:rsidR="00000000" w:rsidDel="00000000" w:rsidP="00000000" w:rsidRDefault="00000000" w:rsidRPr="00000000" w14:paraId="00000075">
            <w:pPr>
              <w:rPr/>
            </w:pPr>
            <w:r w:rsidDel="00000000" w:rsidR="00000000" w:rsidRPr="00000000">
              <w:rPr>
                <w:b w:val="1"/>
                <w:bCs w:val="1"/>
                <w:rtl w:val="0"/>
              </w:rPr>
              <w:t xml:space="preserve">Avg MRR</w:t>
            </w:r>
            <w:r w:rsidDel="00000000" w:rsidR="00000000" w:rsidRPr="00000000">
              <w:rPr>
                <w:rtl w:val="0"/>
              </w:rPr>
            </w:r>
          </w:p>
        </w:tc>
        <w:tc>
          <w:tcPr>
            <w:shd w:fill="e6e6e6" w:val="clear"/>
          </w:tcPr>
          <w:p w:rsidR="00000000" w:rsidDel="00000000" w:rsidP="00000000" w:rsidRDefault="00000000" w:rsidRPr="00000000" w14:paraId="00000076">
            <w:pPr>
              <w:rPr/>
            </w:pPr>
            <w:r w:rsidDel="00000000" w:rsidR="00000000" w:rsidRPr="00000000">
              <w:rPr>
                <w:b w:val="1"/>
                <w:bCs w:val="1"/>
                <w:rtl w:val="0"/>
              </w:rPr>
              <w:t xml:space="preserve">Total ARR Run-Rate</w:t>
            </w:r>
            <w:r w:rsidDel="00000000" w:rsidR="00000000" w:rsidRPr="00000000">
              <w:rPr>
                <w:rtl w:val="0"/>
              </w:rPr>
            </w:r>
          </w:p>
        </w:tc>
        <w:tc>
          <w:tcPr>
            <w:shd w:fill="e6e6e6" w:val="clear"/>
          </w:tcPr>
          <w:p w:rsidR="00000000" w:rsidDel="00000000" w:rsidP="00000000" w:rsidRDefault="00000000" w:rsidRPr="00000000" w14:paraId="00000077">
            <w:pPr>
              <w:rPr/>
            </w:pPr>
            <w:r w:rsidDel="00000000" w:rsidR="00000000" w:rsidRPr="00000000">
              <w:rPr>
                <w:b w:val="1"/>
                <w:bCs w:val="1"/>
                <w:rtl w:val="0"/>
              </w:rPr>
              <w:t xml:space="preserve">Total Historic Rev</w:t>
            </w:r>
            <w:r w:rsidDel="00000000" w:rsidR="00000000" w:rsidRPr="00000000">
              <w:rPr>
                <w:rtl w:val="0"/>
              </w:rPr>
            </w:r>
          </w:p>
        </w:tc>
        <w:tc>
          <w:tcPr>
            <w:shd w:fill="e6e6e6" w:val="clear"/>
          </w:tcPr>
          <w:p w:rsidR="00000000" w:rsidDel="00000000" w:rsidP="00000000" w:rsidRDefault="00000000" w:rsidRPr="00000000" w14:paraId="00000078">
            <w:pPr>
              <w:rPr/>
            </w:pPr>
            <w:r w:rsidDel="00000000" w:rsidR="00000000" w:rsidRPr="00000000">
              <w:rPr>
                <w:b w:val="1"/>
                <w:bCs w:val="1"/>
                <w:rtl w:val="0"/>
              </w:rPr>
              <w:t xml:space="preserve">Avg Tickets</w:t>
            </w:r>
            <w:r w:rsidDel="00000000" w:rsidR="00000000" w:rsidRPr="00000000">
              <w:rPr>
                <w:rtl w:val="0"/>
              </w:rPr>
            </w:r>
          </w:p>
        </w:tc>
        <w:tc>
          <w:tcPr>
            <w:shd w:fill="e6e6e6" w:val="clear"/>
          </w:tcPr>
          <w:p w:rsidR="00000000" w:rsidDel="00000000" w:rsidP="00000000" w:rsidRDefault="00000000" w:rsidRPr="00000000" w14:paraId="00000079">
            <w:pPr>
              <w:rPr/>
            </w:pPr>
            <w:r w:rsidDel="00000000" w:rsidR="00000000" w:rsidRPr="00000000">
              <w:rPr>
                <w:b w:val="1"/>
                <w:bCs w:val="1"/>
                <w:rtl w:val="0"/>
              </w:rPr>
              <w:t xml:space="preserve">Avg Risk Score</w:t>
            </w:r>
            <w:r w:rsidDel="00000000" w:rsidR="00000000" w:rsidRPr="00000000">
              <w:rPr>
                <w:rtl w:val="0"/>
              </w:rPr>
            </w:r>
          </w:p>
        </w:tc>
        <w:tc>
          <w:tcPr>
            <w:shd w:fill="e6e6e6" w:val="clear"/>
          </w:tcPr>
          <w:p w:rsidR="00000000" w:rsidDel="00000000" w:rsidP="00000000" w:rsidRDefault="00000000" w:rsidRPr="00000000" w14:paraId="0000007A">
            <w:pPr>
              <w:rPr/>
            </w:pPr>
            <w:r w:rsidDel="00000000" w:rsidR="00000000" w:rsidRPr="00000000">
              <w:rPr>
                <w:b w:val="1"/>
                <w:bCs w:val="1"/>
                <w:rtl w:val="0"/>
              </w:rPr>
              <w:t xml:space="preserve">Dominant Risk Tier</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Enterprise Anchors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Tier 1: Enterprise Pillars</w:t>
            </w:r>
          </w:p>
        </w:tc>
        <w:tc>
          <w:tcPr/>
          <w:p w:rsidR="00000000" w:rsidDel="00000000" w:rsidP="00000000" w:rsidRDefault="00000000" w:rsidRPr="00000000" w14:paraId="0000007D">
            <w:pPr>
              <w:rPr/>
            </w:pPr>
            <w:r w:rsidDel="00000000" w:rsidR="00000000" w:rsidRPr="00000000">
              <w:rPr>
                <w:rtl w:val="0"/>
              </w:rPr>
              <w:t xml:space="preserve">4</w:t>
            </w:r>
          </w:p>
        </w:tc>
        <w:tc>
          <w:tcPr/>
          <w:p w:rsidR="00000000" w:rsidDel="00000000" w:rsidP="00000000" w:rsidRDefault="00000000" w:rsidRPr="00000000" w14:paraId="0000007E">
            <w:pPr>
              <w:rPr/>
            </w:pPr>
            <w:r w:rsidDel="00000000" w:rsidR="00000000" w:rsidRPr="00000000">
              <w:rPr>
                <w:b w:val="1"/>
                <w:bCs w:val="1"/>
                <w:rtl w:val="0"/>
              </w:rPr>
              <w:t xml:space="preserve">0.0%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38.5 mo</w:t>
            </w:r>
          </w:p>
        </w:tc>
        <w:tc>
          <w:tcPr/>
          <w:p w:rsidR="00000000" w:rsidDel="00000000" w:rsidP="00000000" w:rsidRDefault="00000000" w:rsidRPr="00000000" w14:paraId="00000080">
            <w:pPr>
              <w:rPr/>
            </w:pPr>
            <w:r w:rsidDel="00000000" w:rsidR="00000000" w:rsidRPr="00000000">
              <w:rPr>
                <w:rtl w:val="0"/>
              </w:rPr>
              <w:t xml:space="preserve">$149.99</w:t>
            </w:r>
          </w:p>
        </w:tc>
        <w:tc>
          <w:tcPr/>
          <w:p w:rsidR="00000000" w:rsidDel="00000000" w:rsidP="00000000" w:rsidRDefault="00000000" w:rsidRPr="00000000" w14:paraId="00000081">
            <w:pPr>
              <w:rPr/>
            </w:pPr>
            <w:r w:rsidDel="00000000" w:rsidR="00000000" w:rsidRPr="00000000">
              <w:rPr>
                <w:rtl w:val="0"/>
              </w:rPr>
              <w:t xml:space="preserve">$7,199.52</w:t>
            </w:r>
          </w:p>
        </w:tc>
        <w:tc>
          <w:tcPr/>
          <w:p w:rsidR="00000000" w:rsidDel="00000000" w:rsidP="00000000" w:rsidRDefault="00000000" w:rsidRPr="00000000" w14:paraId="00000082">
            <w:pPr>
              <w:rPr/>
            </w:pPr>
            <w:r w:rsidDel="00000000" w:rsidR="00000000" w:rsidRPr="00000000">
              <w:rPr>
                <w:rtl w:val="0"/>
              </w:rPr>
              <w:t xml:space="preserve">$23,098.46</w:t>
            </w:r>
          </w:p>
        </w:tc>
        <w:tc>
          <w:tcPr/>
          <w:p w:rsidR="00000000" w:rsidDel="00000000" w:rsidP="00000000" w:rsidRDefault="00000000" w:rsidRPr="00000000" w14:paraId="00000083">
            <w:pPr>
              <w:rPr/>
            </w:pPr>
            <w:r w:rsidDel="00000000" w:rsidR="00000000" w:rsidRPr="00000000">
              <w:rPr>
                <w:rtl w:val="0"/>
              </w:rPr>
              <w:t xml:space="preserve">0.5</w:t>
            </w:r>
          </w:p>
        </w:tc>
        <w:tc>
          <w:tcPr/>
          <w:p w:rsidR="00000000" w:rsidDel="00000000" w:rsidP="00000000" w:rsidRDefault="00000000" w:rsidRPr="00000000" w14:paraId="00000084">
            <w:pPr>
              <w:rPr/>
            </w:pPr>
            <w:r w:rsidDel="00000000" w:rsidR="00000000" w:rsidRPr="00000000">
              <w:rPr>
                <w:rtl w:val="0"/>
              </w:rPr>
              <w:t xml:space="preserve">6.5</w:t>
            </w:r>
          </w:p>
        </w:tc>
        <w:tc>
          <w:tcPr/>
          <w:p w:rsidR="00000000" w:rsidDel="00000000" w:rsidP="00000000" w:rsidRDefault="00000000" w:rsidRPr="00000000" w14:paraId="00000085">
            <w:pPr>
              <w:rPr/>
            </w:pPr>
            <w:r w:rsidDel="00000000" w:rsidR="00000000" w:rsidRPr="00000000">
              <w:rPr>
                <w:b w:val="1"/>
                <w:bCs w:val="1"/>
                <w:rtl w:val="0"/>
              </w:rPr>
              <w:t xml:space="preserve">Low Risk</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Committed Pro Growth</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Tier 2: Committed Annual Core</w:t>
            </w:r>
          </w:p>
        </w:tc>
        <w:tc>
          <w:tcPr/>
          <w:p w:rsidR="00000000" w:rsidDel="00000000" w:rsidP="00000000" w:rsidRDefault="00000000" w:rsidRPr="00000000" w14:paraId="00000088">
            <w:pPr>
              <w:rPr/>
            </w:pPr>
            <w:r w:rsidDel="00000000" w:rsidR="00000000" w:rsidRPr="00000000">
              <w:rPr>
                <w:rtl w:val="0"/>
              </w:rPr>
              <w:t xml:space="preserve">2</w:t>
            </w:r>
          </w:p>
        </w:tc>
        <w:tc>
          <w:tcPr/>
          <w:p w:rsidR="00000000" w:rsidDel="00000000" w:rsidP="00000000" w:rsidRDefault="00000000" w:rsidRPr="00000000" w14:paraId="00000089">
            <w:pPr>
              <w:rPr/>
            </w:pPr>
            <w:r w:rsidDel="00000000" w:rsidR="00000000" w:rsidRPr="00000000">
              <w:rPr>
                <w:b w:val="1"/>
                <w:bCs w:val="1"/>
                <w:rtl w:val="0"/>
              </w:rPr>
              <w:t xml:space="preserve">0.0%</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19.5 mo</w:t>
            </w:r>
          </w:p>
        </w:tc>
        <w:tc>
          <w:tcPr/>
          <w:p w:rsidR="00000000" w:rsidDel="00000000" w:rsidP="00000000" w:rsidRDefault="00000000" w:rsidRPr="00000000" w14:paraId="0000008B">
            <w:pPr>
              <w:rPr/>
            </w:pPr>
            <w:r w:rsidDel="00000000" w:rsidR="00000000" w:rsidRPr="00000000">
              <w:rPr>
                <w:rtl w:val="0"/>
              </w:rPr>
              <w:t xml:space="preserve">$79.99</w:t>
            </w:r>
          </w:p>
        </w:tc>
        <w:tc>
          <w:tcPr/>
          <w:p w:rsidR="00000000" w:rsidDel="00000000" w:rsidP="00000000" w:rsidRDefault="00000000" w:rsidRPr="00000000" w14:paraId="0000008C">
            <w:pPr>
              <w:rPr/>
            </w:pPr>
            <w:r w:rsidDel="00000000" w:rsidR="00000000" w:rsidRPr="00000000">
              <w:rPr>
                <w:rtl w:val="0"/>
              </w:rPr>
              <w:t xml:space="preserve">$1,919.76</w:t>
            </w:r>
          </w:p>
        </w:tc>
        <w:tc>
          <w:tcPr/>
          <w:p w:rsidR="00000000" w:rsidDel="00000000" w:rsidP="00000000" w:rsidRDefault="00000000" w:rsidRPr="00000000" w14:paraId="0000008D">
            <w:pPr>
              <w:rPr/>
            </w:pPr>
            <w:r w:rsidDel="00000000" w:rsidR="00000000" w:rsidRPr="00000000">
              <w:rPr>
                <w:rtl w:val="0"/>
              </w:rPr>
              <w:t xml:space="preserve">$3,119.61</w:t>
            </w:r>
          </w:p>
        </w:tc>
        <w:tc>
          <w:tcPr/>
          <w:p w:rsidR="00000000" w:rsidDel="00000000" w:rsidP="00000000" w:rsidRDefault="00000000" w:rsidRPr="00000000" w14:paraId="0000008E">
            <w:pPr>
              <w:rPr/>
            </w:pPr>
            <w:r w:rsidDel="00000000" w:rsidR="00000000" w:rsidRPr="00000000">
              <w:rPr>
                <w:rtl w:val="0"/>
              </w:rPr>
              <w:t xml:space="preserve">1.5</w:t>
            </w:r>
          </w:p>
        </w:tc>
        <w:tc>
          <w:tcPr/>
          <w:p w:rsidR="00000000" w:rsidDel="00000000" w:rsidP="00000000" w:rsidRDefault="00000000" w:rsidRPr="00000000" w14:paraId="0000008F">
            <w:pPr>
              <w:rPr/>
            </w:pPr>
            <w:r w:rsidDel="00000000" w:rsidR="00000000" w:rsidRPr="00000000">
              <w:rPr>
                <w:rtl w:val="0"/>
              </w:rPr>
              <w:t xml:space="preserve">26.0</w:t>
            </w:r>
          </w:p>
        </w:tc>
        <w:tc>
          <w:tcPr/>
          <w:p w:rsidR="00000000" w:rsidDel="00000000" w:rsidP="00000000" w:rsidRDefault="00000000" w:rsidRPr="00000000" w14:paraId="00000090">
            <w:pPr>
              <w:rPr/>
            </w:pPr>
            <w:r w:rsidDel="00000000" w:rsidR="00000000" w:rsidRPr="00000000">
              <w:rPr>
                <w:b w:val="1"/>
                <w:bCs w:val="1"/>
                <w:rtl w:val="0"/>
              </w:rPr>
              <w:t xml:space="preserve">Low Risk</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Stable Basic Loyalists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Tier 2: Committed Annual Core</w:t>
            </w:r>
          </w:p>
        </w:tc>
        <w:tc>
          <w:tcPr/>
          <w:p w:rsidR="00000000" w:rsidDel="00000000" w:rsidP="00000000" w:rsidRDefault="00000000" w:rsidRPr="00000000" w14:paraId="00000093">
            <w:pPr>
              <w:rPr/>
            </w:pPr>
            <w:r w:rsidDel="00000000" w:rsidR="00000000" w:rsidRPr="00000000">
              <w:rPr>
                <w:rtl w:val="0"/>
              </w:rPr>
              <w:t xml:space="preserve">2</w:t>
            </w:r>
          </w:p>
        </w:tc>
        <w:tc>
          <w:tcPr/>
          <w:p w:rsidR="00000000" w:rsidDel="00000000" w:rsidP="00000000" w:rsidRDefault="00000000" w:rsidRPr="00000000" w14:paraId="00000094">
            <w:pPr>
              <w:rPr/>
            </w:pPr>
            <w:r w:rsidDel="00000000" w:rsidR="00000000" w:rsidRPr="00000000">
              <w:rPr>
                <w:b w:val="1"/>
                <w:bCs w:val="1"/>
                <w:rtl w:val="0"/>
              </w:rPr>
              <w:t xml:space="preserve">0.0%</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20.0 mo</w:t>
            </w:r>
          </w:p>
        </w:tc>
        <w:tc>
          <w:tcPr/>
          <w:p w:rsidR="00000000" w:rsidDel="00000000" w:rsidP="00000000" w:rsidRDefault="00000000" w:rsidRPr="00000000" w14:paraId="00000096">
            <w:pPr>
              <w:rPr/>
            </w:pPr>
            <w:r w:rsidDel="00000000" w:rsidR="00000000" w:rsidRPr="00000000">
              <w:rPr>
                <w:rtl w:val="0"/>
              </w:rPr>
              <w:t xml:space="preserve">$49.99</w:t>
            </w:r>
          </w:p>
        </w:tc>
        <w:tc>
          <w:tcPr/>
          <w:p w:rsidR="00000000" w:rsidDel="00000000" w:rsidP="00000000" w:rsidRDefault="00000000" w:rsidRPr="00000000" w14:paraId="00000097">
            <w:pPr>
              <w:rPr/>
            </w:pPr>
            <w:r w:rsidDel="00000000" w:rsidR="00000000" w:rsidRPr="00000000">
              <w:rPr>
                <w:rtl w:val="0"/>
              </w:rPr>
              <w:t xml:space="preserve">$1,199.76</w:t>
            </w:r>
          </w:p>
        </w:tc>
        <w:tc>
          <w:tcPr/>
          <w:p w:rsidR="00000000" w:rsidDel="00000000" w:rsidP="00000000" w:rsidRDefault="00000000" w:rsidRPr="00000000" w14:paraId="00000098">
            <w:pPr>
              <w:rPr/>
            </w:pPr>
            <w:r w:rsidDel="00000000" w:rsidR="00000000" w:rsidRPr="00000000">
              <w:rPr>
                <w:rtl w:val="0"/>
              </w:rPr>
              <w:t xml:space="preserve">$1,999.60</w:t>
            </w:r>
          </w:p>
        </w:tc>
        <w:tc>
          <w:tcPr/>
          <w:p w:rsidR="00000000" w:rsidDel="00000000" w:rsidP="00000000" w:rsidRDefault="00000000" w:rsidRPr="00000000" w14:paraId="00000099">
            <w:pPr>
              <w:rPr/>
            </w:pPr>
            <w:r w:rsidDel="00000000" w:rsidR="00000000" w:rsidRPr="00000000">
              <w:rPr>
                <w:rtl w:val="0"/>
              </w:rPr>
              <w:t xml:space="preserve">1.5</w:t>
            </w:r>
          </w:p>
        </w:tc>
        <w:tc>
          <w:tcPr/>
          <w:p w:rsidR="00000000" w:rsidDel="00000000" w:rsidP="00000000" w:rsidRDefault="00000000" w:rsidRPr="00000000" w14:paraId="0000009A">
            <w:pPr>
              <w:rPr/>
            </w:pPr>
            <w:r w:rsidDel="00000000" w:rsidR="00000000" w:rsidRPr="00000000">
              <w:rPr>
                <w:rtl w:val="0"/>
              </w:rPr>
              <w:t xml:space="preserve">27.5</w:t>
            </w:r>
          </w:p>
        </w:tc>
        <w:tc>
          <w:tcPr/>
          <w:p w:rsidR="00000000" w:rsidDel="00000000" w:rsidP="00000000" w:rsidRDefault="00000000" w:rsidRPr="00000000" w14:paraId="0000009B">
            <w:pPr>
              <w:rPr/>
            </w:pPr>
            <w:r w:rsidDel="00000000" w:rsidR="00000000" w:rsidRPr="00000000">
              <w:rPr>
                <w:b w:val="1"/>
                <w:bCs w:val="1"/>
                <w:rtl w:val="0"/>
              </w:rPr>
              <w:t xml:space="preserve">Low Risk</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High-Value Flight Risk</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Tier 3: High-Value Vulnerable</w:t>
            </w:r>
          </w:p>
        </w:tc>
        <w:tc>
          <w:tcPr/>
          <w:p w:rsidR="00000000" w:rsidDel="00000000" w:rsidP="00000000" w:rsidRDefault="00000000" w:rsidRPr="00000000" w14:paraId="0000009E">
            <w:pPr>
              <w:rPr/>
            </w:pPr>
            <w:r w:rsidDel="00000000" w:rsidR="00000000" w:rsidRPr="00000000">
              <w:rPr>
                <w:rtl w:val="0"/>
              </w:rPr>
              <w:t xml:space="preserve">2</w:t>
            </w:r>
          </w:p>
        </w:tc>
        <w:tc>
          <w:tcPr/>
          <w:p w:rsidR="00000000" w:rsidDel="00000000" w:rsidP="00000000" w:rsidRDefault="00000000" w:rsidRPr="00000000" w14:paraId="0000009F">
            <w:pPr>
              <w:rPr/>
            </w:pPr>
            <w:r w:rsidDel="00000000" w:rsidR="00000000" w:rsidRPr="00000000">
              <w:rPr>
                <w:b w:val="1"/>
                <w:bCs w:val="1"/>
                <w:rtl w:val="0"/>
              </w:rPr>
              <w:t xml:space="preserve">100.0%</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11.0 mo</w:t>
            </w:r>
          </w:p>
        </w:tc>
        <w:tc>
          <w:tcPr/>
          <w:p w:rsidR="00000000" w:rsidDel="00000000" w:rsidP="00000000" w:rsidRDefault="00000000" w:rsidRPr="00000000" w14:paraId="000000A1">
            <w:pPr>
              <w:rPr/>
            </w:pPr>
            <w:r w:rsidDel="00000000" w:rsidR="00000000" w:rsidRPr="00000000">
              <w:rPr>
                <w:rtl w:val="0"/>
              </w:rPr>
              <w:t xml:space="preserve">$79.99</w:t>
            </w:r>
          </w:p>
        </w:tc>
        <w:tc>
          <w:tcPr/>
          <w:p w:rsidR="00000000" w:rsidDel="00000000" w:rsidP="00000000" w:rsidRDefault="00000000" w:rsidRPr="00000000" w14:paraId="000000A2">
            <w:pPr>
              <w:rPr/>
            </w:pPr>
            <w:r w:rsidDel="00000000" w:rsidR="00000000" w:rsidRPr="00000000">
              <w:rPr>
                <w:rtl w:val="0"/>
              </w:rPr>
              <w:t xml:space="preserve">$1,919.76</w:t>
            </w:r>
          </w:p>
        </w:tc>
        <w:tc>
          <w:tcPr/>
          <w:p w:rsidR="00000000" w:rsidDel="00000000" w:rsidP="00000000" w:rsidRDefault="00000000" w:rsidRPr="00000000" w14:paraId="000000A3">
            <w:pPr>
              <w:rPr/>
            </w:pPr>
            <w:r w:rsidDel="00000000" w:rsidR="00000000" w:rsidRPr="00000000">
              <w:rPr>
                <w:rtl w:val="0"/>
              </w:rPr>
              <w:t xml:space="preserve">$1,759.78</w:t>
            </w:r>
          </w:p>
        </w:tc>
        <w:tc>
          <w:tcPr/>
          <w:p w:rsidR="00000000" w:rsidDel="00000000" w:rsidP="00000000" w:rsidRDefault="00000000" w:rsidRPr="00000000" w14:paraId="000000A4">
            <w:pPr>
              <w:rPr/>
            </w:pPr>
            <w:r w:rsidDel="00000000" w:rsidR="00000000" w:rsidRPr="00000000">
              <w:rPr>
                <w:rtl w:val="0"/>
              </w:rPr>
              <w:t xml:space="preserve">3.5</w:t>
            </w:r>
          </w:p>
        </w:tc>
        <w:tc>
          <w:tcPr/>
          <w:p w:rsidR="00000000" w:rsidDel="00000000" w:rsidP="00000000" w:rsidRDefault="00000000" w:rsidRPr="00000000" w14:paraId="000000A5">
            <w:pPr>
              <w:rPr/>
            </w:pPr>
            <w:r w:rsidDel="00000000" w:rsidR="00000000" w:rsidRPr="00000000">
              <w:rPr>
                <w:rtl w:val="0"/>
              </w:rPr>
              <w:t xml:space="preserve">78.5</w:t>
            </w:r>
          </w:p>
        </w:tc>
        <w:tc>
          <w:tcPr/>
          <w:p w:rsidR="00000000" w:rsidDel="00000000" w:rsidP="00000000" w:rsidRDefault="00000000" w:rsidRPr="00000000" w14:paraId="000000A6">
            <w:pPr>
              <w:rPr/>
            </w:pPr>
            <w:r w:rsidDel="00000000" w:rsidR="00000000" w:rsidRPr="00000000">
              <w:rPr>
                <w:b w:val="1"/>
                <w:bCs w:val="1"/>
                <w:rtl w:val="0"/>
              </w:rPr>
              <w:t xml:space="preserve">High Risk</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Early Onboarding Drop-offs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Tier 4: Early Lifecycle Attrition</w:t>
            </w:r>
          </w:p>
        </w:tc>
        <w:tc>
          <w:tcPr/>
          <w:p w:rsidR="00000000" w:rsidDel="00000000" w:rsidP="00000000" w:rsidRDefault="00000000" w:rsidRPr="00000000" w14:paraId="000000A9">
            <w:pPr>
              <w:rPr/>
            </w:pPr>
            <w:r w:rsidDel="00000000" w:rsidR="00000000" w:rsidRPr="00000000">
              <w:rPr>
                <w:rtl w:val="0"/>
              </w:rPr>
              <w:t xml:space="preserve">4</w:t>
            </w:r>
          </w:p>
        </w:tc>
        <w:tc>
          <w:tcPr/>
          <w:p w:rsidR="00000000" w:rsidDel="00000000" w:rsidP="00000000" w:rsidRDefault="00000000" w:rsidRPr="00000000" w14:paraId="000000AA">
            <w:pPr>
              <w:rPr/>
            </w:pPr>
            <w:r w:rsidDel="00000000" w:rsidR="00000000" w:rsidRPr="00000000">
              <w:rPr>
                <w:b w:val="1"/>
                <w:bCs w:val="1"/>
                <w:rtl w:val="0"/>
              </w:rPr>
              <w:t xml:space="preserve">100.0%</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3.8 mo</w:t>
            </w:r>
          </w:p>
        </w:tc>
        <w:tc>
          <w:tcPr/>
          <w:p w:rsidR="00000000" w:rsidDel="00000000" w:rsidP="00000000" w:rsidRDefault="00000000" w:rsidRPr="00000000" w14:paraId="000000AC">
            <w:pPr>
              <w:rPr/>
            </w:pPr>
            <w:r w:rsidDel="00000000" w:rsidR="00000000" w:rsidRPr="00000000">
              <w:rPr>
                <w:rtl w:val="0"/>
              </w:rPr>
              <w:t xml:space="preserve">$49.99</w:t>
            </w:r>
          </w:p>
        </w:tc>
        <w:tc>
          <w:tcPr/>
          <w:p w:rsidR="00000000" w:rsidDel="00000000" w:rsidP="00000000" w:rsidRDefault="00000000" w:rsidRPr="00000000" w14:paraId="000000AD">
            <w:pPr>
              <w:rPr/>
            </w:pPr>
            <w:r w:rsidDel="00000000" w:rsidR="00000000" w:rsidRPr="00000000">
              <w:rPr>
                <w:rtl w:val="0"/>
              </w:rPr>
              <w:t xml:space="preserve">$2,399.52</w:t>
            </w:r>
          </w:p>
        </w:tc>
        <w:tc>
          <w:tcPr/>
          <w:p w:rsidR="00000000" w:rsidDel="00000000" w:rsidP="00000000" w:rsidRDefault="00000000" w:rsidRPr="00000000" w14:paraId="000000AE">
            <w:pPr>
              <w:rPr/>
            </w:pPr>
            <w:r w:rsidDel="00000000" w:rsidR="00000000" w:rsidRPr="00000000">
              <w:rPr>
                <w:rtl w:val="0"/>
              </w:rPr>
              <w:t xml:space="preserve">$749.85</w:t>
            </w:r>
          </w:p>
        </w:tc>
        <w:tc>
          <w:tcPr/>
          <w:p w:rsidR="00000000" w:rsidDel="00000000" w:rsidP="00000000" w:rsidRDefault="00000000" w:rsidRPr="00000000" w14:paraId="000000AF">
            <w:pPr>
              <w:rPr/>
            </w:pPr>
            <w:r w:rsidDel="00000000" w:rsidR="00000000" w:rsidRPr="00000000">
              <w:rPr>
                <w:rtl w:val="0"/>
              </w:rPr>
              <w:t xml:space="preserve">5.0</w:t>
            </w:r>
          </w:p>
        </w:tc>
        <w:tc>
          <w:tcPr/>
          <w:p w:rsidR="00000000" w:rsidDel="00000000" w:rsidP="00000000" w:rsidRDefault="00000000" w:rsidRPr="00000000" w14:paraId="000000B0">
            <w:pPr>
              <w:rPr/>
            </w:pPr>
            <w:r w:rsidDel="00000000" w:rsidR="00000000" w:rsidRPr="00000000">
              <w:rPr>
                <w:rtl w:val="0"/>
              </w:rPr>
              <w:t xml:space="preserve">96.8</w:t>
            </w:r>
          </w:p>
        </w:tc>
        <w:tc>
          <w:tcPr/>
          <w:p w:rsidR="00000000" w:rsidDel="00000000" w:rsidP="00000000" w:rsidRDefault="00000000" w:rsidRPr="00000000" w14:paraId="000000B1">
            <w:pPr>
              <w:rPr/>
            </w:pPr>
            <w:r w:rsidDel="00000000" w:rsidR="00000000" w:rsidRPr="00000000">
              <w:rPr>
                <w:b w:val="1"/>
                <w:bCs w:val="1"/>
                <w:rtl w:val="0"/>
              </w:rPr>
              <w:t xml:space="preserve">High Risk</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Late Basic Churners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Tier 4: Early Lifecycle Attrition</w:t>
            </w:r>
          </w:p>
        </w:tc>
        <w:tc>
          <w:tcPr/>
          <w:p w:rsidR="00000000" w:rsidDel="00000000" w:rsidP="00000000" w:rsidRDefault="00000000" w:rsidRPr="00000000" w14:paraId="000000B4">
            <w:pPr>
              <w:rPr/>
            </w:pPr>
            <w:r w:rsidDel="00000000" w:rsidR="00000000" w:rsidRPr="00000000">
              <w:rPr>
                <w:rtl w:val="0"/>
              </w:rPr>
              <w:t xml:space="preserve">1</w:t>
            </w:r>
          </w:p>
        </w:tc>
        <w:tc>
          <w:tcPr/>
          <w:p w:rsidR="00000000" w:rsidDel="00000000" w:rsidP="00000000" w:rsidRDefault="00000000" w:rsidRPr="00000000" w14:paraId="000000B5">
            <w:pPr>
              <w:rPr/>
            </w:pPr>
            <w:r w:rsidDel="00000000" w:rsidR="00000000" w:rsidRPr="00000000">
              <w:rPr>
                <w:b w:val="1"/>
                <w:bCs w:val="1"/>
                <w:rtl w:val="0"/>
              </w:rPr>
              <w:t xml:space="preserve">100.0%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12.0 mo</w:t>
            </w:r>
          </w:p>
        </w:tc>
        <w:tc>
          <w:tcPr/>
          <w:p w:rsidR="00000000" w:rsidDel="00000000" w:rsidP="00000000" w:rsidRDefault="00000000" w:rsidRPr="00000000" w14:paraId="000000B7">
            <w:pPr>
              <w:rPr/>
            </w:pPr>
            <w:r w:rsidDel="00000000" w:rsidR="00000000" w:rsidRPr="00000000">
              <w:rPr>
                <w:rtl w:val="0"/>
              </w:rPr>
              <w:t xml:space="preserve">$49.99</w:t>
            </w:r>
          </w:p>
        </w:tc>
        <w:tc>
          <w:tcPr/>
          <w:p w:rsidR="00000000" w:rsidDel="00000000" w:rsidP="00000000" w:rsidRDefault="00000000" w:rsidRPr="00000000" w14:paraId="000000B8">
            <w:pPr>
              <w:rPr/>
            </w:pPr>
            <w:r w:rsidDel="00000000" w:rsidR="00000000" w:rsidRPr="00000000">
              <w:rPr>
                <w:rtl w:val="0"/>
              </w:rPr>
              <w:t xml:space="preserve">$599.88</w:t>
            </w:r>
          </w:p>
        </w:tc>
        <w:tc>
          <w:tcPr/>
          <w:p w:rsidR="00000000" w:rsidDel="00000000" w:rsidP="00000000" w:rsidRDefault="00000000" w:rsidRPr="00000000" w14:paraId="000000B9">
            <w:pPr>
              <w:rPr/>
            </w:pPr>
            <w:r w:rsidDel="00000000" w:rsidR="00000000" w:rsidRPr="00000000">
              <w:rPr>
                <w:rtl w:val="0"/>
              </w:rPr>
              <w:t xml:space="preserve">$599.88</w:t>
            </w:r>
          </w:p>
        </w:tc>
        <w:tc>
          <w:tcPr/>
          <w:p w:rsidR="00000000" w:rsidDel="00000000" w:rsidP="00000000" w:rsidRDefault="00000000" w:rsidRPr="00000000" w14:paraId="000000BA">
            <w:pPr>
              <w:rPr/>
            </w:pPr>
            <w:r w:rsidDel="00000000" w:rsidR="00000000" w:rsidRPr="00000000">
              <w:rPr>
                <w:rtl w:val="0"/>
              </w:rPr>
              <w:t xml:space="preserve">3.0</w:t>
            </w:r>
          </w:p>
        </w:tc>
        <w:tc>
          <w:tcPr/>
          <w:p w:rsidR="00000000" w:rsidDel="00000000" w:rsidP="00000000" w:rsidRDefault="00000000" w:rsidRPr="00000000" w14:paraId="000000BB">
            <w:pPr>
              <w:rPr/>
            </w:pPr>
            <w:r w:rsidDel="00000000" w:rsidR="00000000" w:rsidRPr="00000000">
              <w:rPr>
                <w:rtl w:val="0"/>
              </w:rPr>
              <w:t xml:space="preserve">79.0</w:t>
            </w:r>
          </w:p>
        </w:tc>
        <w:tc>
          <w:tcPr/>
          <w:p w:rsidR="00000000" w:rsidDel="00000000" w:rsidP="00000000" w:rsidRDefault="00000000" w:rsidRPr="00000000" w14:paraId="000000BC">
            <w:pPr>
              <w:rPr/>
            </w:pPr>
            <w:r w:rsidDel="00000000" w:rsidR="00000000" w:rsidRPr="00000000">
              <w:rPr>
                <w:b w:val="1"/>
                <w:bCs w:val="1"/>
                <w:rtl w:val="0"/>
              </w:rPr>
              <w:t xml:space="preserve">High Risk</w:t>
            </w:r>
            <w:r w:rsidDel="00000000" w:rsidR="00000000" w:rsidRPr="00000000">
              <w:rPr>
                <w:rtl w:val="0"/>
              </w:rPr>
            </w:r>
          </w:p>
        </w:tc>
      </w:tr>
    </w:tbl>
    <w:p w:rsidR="00000000" w:rsidDel="00000000" w:rsidP="00000000" w:rsidRDefault="00000000" w:rsidRPr="00000000" w14:paraId="000000BD">
      <w:pPr>
        <w:pStyle w:val="Heading4"/>
        <w:rPr/>
      </w:pPr>
      <w:bookmarkStart w:colFirst="0" w:colLast="0" w:name="_cd01sp5bk99s" w:id="12"/>
      <w:bookmarkEnd w:id="12"/>
      <w:r w:rsidDel="00000000" w:rsidR="00000000" w:rsidRPr="00000000">
        <w:rPr>
          <w:b w:val="1"/>
          <w:bCs w:val="1"/>
          <w:rtl w:val="0"/>
        </w:rPr>
        <w:t xml:space="preserve">Cohort Analysis Takeaways:</w:t>
      </w:r>
      <w:r w:rsidDel="00000000" w:rsidR="00000000" w:rsidRPr="00000000">
        <w:rPr>
          <w:rtl w:val="0"/>
        </w:rPr>
      </w:r>
    </w:p>
    <w:p w:rsidR="00000000" w:rsidDel="00000000" w:rsidP="00000000" w:rsidRDefault="00000000" w:rsidRPr="00000000" w14:paraId="000000BE">
      <w:pPr>
        <w:numPr>
          <w:ilvl w:val="0"/>
          <w:numId w:val="7"/>
        </w:numPr>
        <w:ind w:left="720" w:hanging="360"/>
      </w:pPr>
      <w:r w:rsidDel="00000000" w:rsidR="00000000" w:rsidRPr="00000000">
        <w:rPr>
          <w:b w:val="1"/>
          <w:bCs w:val="1"/>
          <w:rtl w:val="0"/>
        </w:rPr>
        <w:t xml:space="preserve">The Enterprise Foundation</w:t>
      </w:r>
      <w:r w:rsidDel="00000000" w:rsidR="00000000" w:rsidRPr="00000000">
        <w:rPr>
          <w:rtl w:val="0"/>
        </w:rPr>
        <w:t xml:space="preserve">: Enterprise Anchors represent 73.7% of cumulative historical revenue ($23,098.46). Their Two-Year commitments and minimal support friction (0.5 tickets) form the financial bedrock of the business.</w:t>
      </w:r>
    </w:p>
    <w:p w:rsidR="00000000" w:rsidDel="00000000" w:rsidP="00000000" w:rsidRDefault="00000000" w:rsidRPr="00000000" w14:paraId="000000BF">
      <w:pPr>
        <w:numPr>
          <w:ilvl w:val="0"/>
          <w:numId w:val="7"/>
        </w:numPr>
        <w:ind w:left="720" w:hanging="360"/>
      </w:pPr>
      <w:r w:rsidDel="00000000" w:rsidR="00000000" w:rsidRPr="00000000">
        <w:rPr>
          <w:b w:val="1"/>
          <w:bCs w:val="1"/>
          <w:rtl w:val="0"/>
        </w:rPr>
        <w:t xml:space="preserve">The Pro Tier Churn Asymmetry</w:t>
      </w:r>
      <w:r w:rsidDel="00000000" w:rsidR="00000000" w:rsidRPr="00000000">
        <w:rPr>
          <w:rtl w:val="0"/>
        </w:rPr>
        <w:t xml:space="preserve">: The Pro tier is perfectly split by contract type. Pro customers on One-Year contracts (CUST-1002, CUST-1009) have 0% churn, while Pro customers on Month-to-Month contracts (CUST-1005, CUST-1012) have 100% churn. Resolving this represents an immediate $1,919.76 ARR recovery opportunity.</w:t>
      </w:r>
    </w:p>
    <w:p w:rsidR="00000000" w:rsidDel="00000000" w:rsidP="00000000" w:rsidRDefault="00000000" w:rsidRPr="00000000" w14:paraId="000000C0">
      <w:pPr>
        <w:numPr>
          <w:ilvl w:val="0"/>
          <w:numId w:val="7"/>
        </w:numPr>
        <w:ind w:left="720" w:hanging="360"/>
      </w:pPr>
      <w:r w:rsidDel="00000000" w:rsidR="00000000" w:rsidRPr="00000000">
        <w:rPr>
          <w:b w:val="1"/>
          <w:bCs w:val="1"/>
          <w:rtl w:val="0"/>
        </w:rPr>
        <w:t xml:space="preserve">The Onboarding Churn Chasm</w:t>
      </w:r>
      <w:r w:rsidDel="00000000" w:rsidR="00000000" w:rsidRPr="00000000">
        <w:rPr>
          <w:rtl w:val="0"/>
        </w:rPr>
        <w:t xml:space="preserve">: Early Onboarding Drop-offs log an alarming 5.0 support tickets in their first 3.8 months on average. This indicates product setup friction rather than lack of purchase intent.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pPr>
      <w:bookmarkStart w:colFirst="0" w:colLast="0" w:name="_2zgg02amwavn" w:id="13"/>
      <w:bookmarkEnd w:id="13"/>
      <w:r w:rsidDel="00000000" w:rsidR="00000000" w:rsidRPr="00000000">
        <w:rPr>
          <w:b w:val="1"/>
          <w:bCs w:val="1"/>
          <w:rtl w:val="0"/>
        </w:rPr>
        <w:t xml:space="preserve">7. STRATEGIC RETENTION PLAYBOOKS (PORTFOLIO UPGRADE)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To capitalize on this explainable scoring architecture, we recommend specialized, high-ROI retention interventions for each segment:</w:t>
      </w:r>
    </w:p>
    <w:p w:rsidR="00000000" w:rsidDel="00000000" w:rsidP="00000000" w:rsidRDefault="00000000" w:rsidRPr="00000000" w14:paraId="000000C4">
      <w:pPr>
        <w:pStyle w:val="Heading4"/>
        <w:rPr/>
      </w:pPr>
      <w:bookmarkStart w:colFirst="0" w:colLast="0" w:name="_jd9brwl7mp7c" w:id="14"/>
      <w:bookmarkEnd w:id="14"/>
      <w:r w:rsidDel="00000000" w:rsidR="00000000" w:rsidRPr="00000000">
        <w:rPr>
          <w:b w:val="1"/>
          <w:bCs w:val="1"/>
          <w:rtl w:val="0"/>
        </w:rPr>
        <w:t xml:space="preserve">A. High-Value Segment Playbooks (Portfolio Upgrade Focus)</w:t>
      </w: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Enterprise Anchors (Tier 1 — High Value / High Stability)</w:t>
      </w:r>
      <w:r w:rsidDel="00000000" w:rsidR="00000000" w:rsidRPr="00000000">
        <w:rPr>
          <w:rtl w:val="0"/>
        </w:rPr>
      </w:r>
    </w:p>
    <w:p w:rsidR="00000000" w:rsidDel="00000000" w:rsidP="00000000" w:rsidRDefault="00000000" w:rsidRPr="00000000" w14:paraId="000000C6">
      <w:pPr>
        <w:numPr>
          <w:ilvl w:val="1"/>
          <w:numId w:val="3"/>
        </w:numPr>
        <w:ind w:left="1440" w:hanging="360"/>
      </w:pPr>
      <w:r w:rsidDel="00000000" w:rsidR="00000000" w:rsidRPr="00000000">
        <w:rPr>
          <w:i w:val="1"/>
          <w:iCs w:val="1"/>
          <w:rtl w:val="0"/>
        </w:rPr>
        <w:t xml:space="preserve">Economic Value</w:t>
      </w:r>
      <w:r w:rsidDel="00000000" w:rsidR="00000000" w:rsidRPr="00000000">
        <w:rPr>
          <w:rtl w:val="0"/>
        </w:rPr>
        <w:t xml:space="preserve">: $7,199.52 Annual Run-Rate; $23,098.46 historical revenue.</w:t>
      </w:r>
    </w:p>
    <w:p w:rsidR="00000000" w:rsidDel="00000000" w:rsidP="00000000" w:rsidRDefault="00000000" w:rsidRPr="00000000" w14:paraId="000000C7">
      <w:pPr>
        <w:numPr>
          <w:ilvl w:val="1"/>
          <w:numId w:val="3"/>
        </w:numPr>
        <w:ind w:left="1440" w:hanging="360"/>
      </w:pPr>
      <w:r w:rsidDel="00000000" w:rsidR="00000000" w:rsidRPr="00000000">
        <w:rPr>
          <w:i w:val="1"/>
          <w:iCs w:val="1"/>
          <w:rtl w:val="0"/>
        </w:rPr>
        <w:t xml:space="preserve">Core Vulnerability</w:t>
      </w:r>
      <w:r w:rsidDel="00000000" w:rsidR="00000000" w:rsidRPr="00000000">
        <w:rPr>
          <w:rtl w:val="0"/>
        </w:rPr>
        <w:t xml:space="preserve">: Complacency, executive stakeholder turnover, and unexpected RFP bake-offs at contract expiration.</w:t>
      </w:r>
    </w:p>
    <w:p w:rsidR="00000000" w:rsidDel="00000000" w:rsidP="00000000" w:rsidRDefault="00000000" w:rsidRPr="00000000" w14:paraId="000000C8">
      <w:pPr>
        <w:numPr>
          <w:ilvl w:val="1"/>
          <w:numId w:val="3"/>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Executive Business Reviews (EBR) &amp; Technical Account Manager (TAM) Alignment</w:t>
      </w:r>
      <w:r w:rsidDel="00000000" w:rsidR="00000000" w:rsidRPr="00000000">
        <w:rPr>
          <w:rtl w:val="0"/>
        </w:rPr>
      </w:r>
    </w:p>
    <w:p w:rsidR="00000000" w:rsidDel="00000000" w:rsidP="00000000" w:rsidRDefault="00000000" w:rsidRPr="00000000" w14:paraId="000000C9">
      <w:pPr>
        <w:numPr>
          <w:ilvl w:val="2"/>
          <w:numId w:val="3"/>
        </w:numPr>
        <w:ind w:left="2160" w:hanging="360"/>
      </w:pPr>
      <w:r w:rsidDel="00000000" w:rsidR="00000000" w:rsidRPr="00000000">
        <w:rPr>
          <w:rtl w:val="0"/>
        </w:rPr>
        <w:t xml:space="preserve">Assign a named TAM to lead quarterly architectural reviews and bi-annual executive sponsor meetings.</w:t>
      </w:r>
    </w:p>
    <w:p w:rsidR="00000000" w:rsidDel="00000000" w:rsidP="00000000" w:rsidRDefault="00000000" w:rsidRPr="00000000" w14:paraId="000000CA">
      <w:pPr>
        <w:numPr>
          <w:ilvl w:val="2"/>
          <w:numId w:val="3"/>
        </w:numPr>
        <w:ind w:left="2160" w:hanging="360"/>
      </w:pPr>
      <w:r w:rsidDel="00000000" w:rsidR="00000000" w:rsidRPr="00000000">
        <w:rPr>
          <w:rtl w:val="0"/>
        </w:rPr>
        <w:t xml:space="preserve">Six months prior to contract expiration, initiate a co-design roadmap workshop where customer-requested features are committed to the upcoming product cycle in exchange for an early 2-year renewal.</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Committed Pro Growth (Tier 2 — High Value / Expansion Core)</w:t>
      </w:r>
      <w:r w:rsidDel="00000000" w:rsidR="00000000" w:rsidRPr="00000000">
        <w:rPr>
          <w:rtl w:val="0"/>
        </w:rPr>
      </w:r>
    </w:p>
    <w:p w:rsidR="00000000" w:rsidDel="00000000" w:rsidP="00000000" w:rsidRDefault="00000000" w:rsidRPr="00000000" w14:paraId="000000CC">
      <w:pPr>
        <w:numPr>
          <w:ilvl w:val="1"/>
          <w:numId w:val="3"/>
        </w:numPr>
        <w:ind w:left="1440" w:hanging="360"/>
      </w:pPr>
      <w:r w:rsidDel="00000000" w:rsidR="00000000" w:rsidRPr="00000000">
        <w:rPr>
          <w:i w:val="1"/>
          <w:iCs w:val="1"/>
          <w:rtl w:val="0"/>
        </w:rPr>
        <w:t xml:space="preserve">Economic Value</w:t>
      </w:r>
      <w:r w:rsidDel="00000000" w:rsidR="00000000" w:rsidRPr="00000000">
        <w:rPr>
          <w:rtl w:val="0"/>
        </w:rPr>
        <w:t xml:space="preserve">: $1,919.76 Annual Run-Rate; $3,119.61 historical revenue.</w:t>
      </w:r>
    </w:p>
    <w:p w:rsidR="00000000" w:rsidDel="00000000" w:rsidP="00000000" w:rsidRDefault="00000000" w:rsidRPr="00000000" w14:paraId="000000CD">
      <w:pPr>
        <w:numPr>
          <w:ilvl w:val="1"/>
          <w:numId w:val="3"/>
        </w:numPr>
        <w:ind w:left="1440" w:hanging="360"/>
      </w:pPr>
      <w:r w:rsidDel="00000000" w:rsidR="00000000" w:rsidRPr="00000000">
        <w:rPr>
          <w:i w:val="1"/>
          <w:iCs w:val="1"/>
          <w:rtl w:val="0"/>
        </w:rPr>
        <w:t xml:space="preserve">Core Vulnerability</w:t>
      </w:r>
      <w:r w:rsidDel="00000000" w:rsidR="00000000" w:rsidRPr="00000000">
        <w:rPr>
          <w:rtl w:val="0"/>
        </w:rPr>
        <w:t xml:space="preserve">: Plateauing feature usage and budget scrutiny at the annual renewal mark.</w:t>
      </w:r>
    </w:p>
    <w:p w:rsidR="00000000" w:rsidDel="00000000" w:rsidP="00000000" w:rsidRDefault="00000000" w:rsidRPr="00000000" w14:paraId="000000CE">
      <w:pPr>
        <w:numPr>
          <w:ilvl w:val="1"/>
          <w:numId w:val="3"/>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90-Day Pre-Renewal Health Audit &amp; Enterprise Upsell Path</w:t>
      </w:r>
      <w:r w:rsidDel="00000000" w:rsidR="00000000" w:rsidRPr="00000000">
        <w:rPr>
          <w:rtl w:val="0"/>
        </w:rPr>
      </w:r>
    </w:p>
    <w:p w:rsidR="00000000" w:rsidDel="00000000" w:rsidP="00000000" w:rsidRDefault="00000000" w:rsidRPr="00000000" w14:paraId="000000CF">
      <w:pPr>
        <w:numPr>
          <w:ilvl w:val="2"/>
          <w:numId w:val="3"/>
        </w:numPr>
        <w:ind w:left="2160" w:hanging="360"/>
      </w:pPr>
      <w:r w:rsidDel="00000000" w:rsidR="00000000" w:rsidRPr="00000000">
        <w:rPr>
          <w:rtl w:val="0"/>
        </w:rPr>
        <w:t xml:space="preserve">At Month 9, trigger an automated telemetry health audit. If the account exceeds 70% feature utilization, present an executive summary demonstrating ROI achieved.</w:t>
      </w:r>
    </w:p>
    <w:p w:rsidR="00000000" w:rsidDel="00000000" w:rsidP="00000000" w:rsidRDefault="00000000" w:rsidRPr="00000000" w14:paraId="000000D0">
      <w:pPr>
        <w:numPr>
          <w:ilvl w:val="2"/>
          <w:numId w:val="3"/>
        </w:numPr>
        <w:ind w:left="2160" w:hanging="360"/>
      </w:pPr>
      <w:r w:rsidDel="00000000" w:rsidR="00000000" w:rsidRPr="00000000">
        <w:rPr>
          <w:rtl w:val="0"/>
        </w:rPr>
        <w:t xml:space="preserve">Offer an exclusive upgrade incentive to the Enterprise tier at a 15% multi-year discount, packaging dedicated onboarding and advanced security features.</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High-Value Flight Risk (Tier 3 — High Value / Critical Rescue)</w:t>
      </w:r>
      <w:r w:rsidDel="00000000" w:rsidR="00000000" w:rsidRPr="00000000">
        <w:rPr>
          <w:rtl w:val="0"/>
        </w:rPr>
      </w:r>
    </w:p>
    <w:p w:rsidR="00000000" w:rsidDel="00000000" w:rsidP="00000000" w:rsidRDefault="00000000" w:rsidRPr="00000000" w14:paraId="000000D2">
      <w:pPr>
        <w:numPr>
          <w:ilvl w:val="1"/>
          <w:numId w:val="3"/>
        </w:numPr>
        <w:ind w:left="1440" w:hanging="360"/>
      </w:pPr>
      <w:r w:rsidDel="00000000" w:rsidR="00000000" w:rsidRPr="00000000">
        <w:rPr>
          <w:i w:val="1"/>
          <w:iCs w:val="1"/>
          <w:rtl w:val="0"/>
        </w:rPr>
        <w:t xml:space="preserve">Economic Value</w:t>
      </w:r>
      <w:r w:rsidDel="00000000" w:rsidR="00000000" w:rsidRPr="00000000">
        <w:rPr>
          <w:rtl w:val="0"/>
        </w:rPr>
        <w:t xml:space="preserve">: $1,919.76 Annual Run-Rate; 100% churn rate in historical sample.</w:t>
      </w:r>
    </w:p>
    <w:p w:rsidR="00000000" w:rsidDel="00000000" w:rsidP="00000000" w:rsidRDefault="00000000" w:rsidRPr="00000000" w14:paraId="000000D3">
      <w:pPr>
        <w:numPr>
          <w:ilvl w:val="1"/>
          <w:numId w:val="3"/>
        </w:numPr>
        <w:ind w:left="1440" w:hanging="360"/>
      </w:pPr>
      <w:r w:rsidDel="00000000" w:rsidR="00000000" w:rsidRPr="00000000">
        <w:rPr>
          <w:i w:val="1"/>
          <w:iCs w:val="1"/>
          <w:rtl w:val="0"/>
        </w:rPr>
        <w:t xml:space="preserve">Core Vulnerability</w:t>
      </w:r>
      <w:r w:rsidDel="00000000" w:rsidR="00000000" w:rsidRPr="00000000">
        <w:rPr>
          <w:rtl w:val="0"/>
        </w:rPr>
        <w:t xml:space="preserve">: High monthly charges paired with uncommitted Month-to-Month contracts and compounding support ticket friction (avg 3.5 tickets).</w:t>
      </w:r>
    </w:p>
    <w:p w:rsidR="00000000" w:rsidDel="00000000" w:rsidP="00000000" w:rsidRDefault="00000000" w:rsidRPr="00000000" w14:paraId="000000D4">
      <w:pPr>
        <w:numPr>
          <w:ilvl w:val="1"/>
          <w:numId w:val="3"/>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24-Hour Tier-3 Engineering Resolution &amp; Annual Conversion Incentive</w:t>
      </w:r>
      <w:r w:rsidDel="00000000" w:rsidR="00000000" w:rsidRPr="00000000">
        <w:rPr>
          <w:rtl w:val="0"/>
        </w:rPr>
      </w:r>
    </w:p>
    <w:p w:rsidR="00000000" w:rsidDel="00000000" w:rsidP="00000000" w:rsidRDefault="00000000" w:rsidRPr="00000000" w14:paraId="000000D5">
      <w:pPr>
        <w:numPr>
          <w:ilvl w:val="2"/>
          <w:numId w:val="3"/>
        </w:numPr>
        <w:ind w:left="2160" w:hanging="360"/>
      </w:pPr>
      <w:r w:rsidDel="00000000" w:rsidR="00000000" w:rsidRPr="00000000">
        <w:rPr>
          <w:rtl w:val="0"/>
        </w:rPr>
        <w:t xml:space="preserve">When an account enters High Risk (&gt;= 65), route all open tickets immediately to senior technical engineering under a strict 24-hour SLA.</w:t>
      </w:r>
    </w:p>
    <w:p w:rsidR="00000000" w:rsidDel="00000000" w:rsidP="00000000" w:rsidRDefault="00000000" w:rsidRPr="00000000" w14:paraId="000000D6">
      <w:pPr>
        <w:numPr>
          <w:ilvl w:val="2"/>
          <w:numId w:val="3"/>
        </w:numPr>
        <w:ind w:left="2160" w:hanging="360"/>
      </w:pPr>
      <w:r w:rsidDel="00000000" w:rsidR="00000000" w:rsidRPr="00000000">
        <w:rPr>
          <w:rtl w:val="0"/>
        </w:rPr>
        <w:t xml:space="preserve">Have the Customer Success Lead schedule a 1-on-1 "System Optimization Consultation." Once technical issues are resolved, offer a 20% annual contract discount (reducing monthly equivalent from $79.99 to $63.99), eliminating monthly churn vulnerability.</w:t>
      </w:r>
    </w:p>
    <w:p w:rsidR="00000000" w:rsidDel="00000000" w:rsidP="00000000" w:rsidRDefault="00000000" w:rsidRPr="00000000" w14:paraId="000000D7">
      <w:pPr>
        <w:pStyle w:val="Heading4"/>
        <w:rPr/>
      </w:pPr>
      <w:bookmarkStart w:colFirst="0" w:colLast="0" w:name="_aj8flyp66qfc" w:id="15"/>
      <w:bookmarkEnd w:id="15"/>
      <w:r w:rsidDel="00000000" w:rsidR="00000000" w:rsidRPr="00000000">
        <w:rPr>
          <w:b w:val="1"/>
          <w:bCs w:val="1"/>
          <w:rtl w:val="0"/>
        </w:rPr>
        <w:t xml:space="preserve">B. Volume &amp; Early Lifecycle Playbooks</w:t>
      </w: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Stable Basic Loyalists (Tier 2 — Entry Core)</w:t>
      </w:r>
      <w:r w:rsidDel="00000000" w:rsidR="00000000" w:rsidRPr="00000000">
        <w:rPr>
          <w:rtl w:val="0"/>
        </w:rPr>
      </w:r>
    </w:p>
    <w:p w:rsidR="00000000" w:rsidDel="00000000" w:rsidP="00000000" w:rsidRDefault="00000000" w:rsidRPr="00000000" w14:paraId="000000D9">
      <w:pPr>
        <w:numPr>
          <w:ilvl w:val="1"/>
          <w:numId w:val="2"/>
        </w:numPr>
        <w:ind w:left="1440" w:hanging="360"/>
      </w:pPr>
      <w:r w:rsidDel="00000000" w:rsidR="00000000" w:rsidRPr="00000000">
        <w:rPr>
          <w:i w:val="1"/>
          <w:iCs w:val="1"/>
          <w:rtl w:val="0"/>
        </w:rPr>
        <w:t xml:space="preserve">Economic Value</w:t>
      </w:r>
      <w:r w:rsidDel="00000000" w:rsidR="00000000" w:rsidRPr="00000000">
        <w:rPr>
          <w:rtl w:val="0"/>
        </w:rPr>
        <w:t xml:space="preserve">: $1,199.76 Annual Run-Rate.</w:t>
      </w:r>
    </w:p>
    <w:p w:rsidR="00000000" w:rsidDel="00000000" w:rsidP="00000000" w:rsidRDefault="00000000" w:rsidRPr="00000000" w14:paraId="000000DA">
      <w:pPr>
        <w:numPr>
          <w:ilvl w:val="1"/>
          <w:numId w:val="2"/>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Anniversary Milestone Perks &amp; Pro Trial</w:t>
      </w:r>
      <w:r w:rsidDel="00000000" w:rsidR="00000000" w:rsidRPr="00000000">
        <w:rPr>
          <w:rtl w:val="0"/>
        </w:rPr>
        <w:t xml:space="preserve">: Deliver automated renewal credits and a 14-day guided trial of Pro tier functionality to stimulate organic expansion.</w:t>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Early Onboarding Drop-offs (Tier 4 — Volume Attrition)</w:t>
      </w:r>
      <w:r w:rsidDel="00000000" w:rsidR="00000000" w:rsidRPr="00000000">
        <w:rPr>
          <w:rtl w:val="0"/>
        </w:rPr>
      </w:r>
    </w:p>
    <w:p w:rsidR="00000000" w:rsidDel="00000000" w:rsidP="00000000" w:rsidRDefault="00000000" w:rsidRPr="00000000" w14:paraId="000000DC">
      <w:pPr>
        <w:numPr>
          <w:ilvl w:val="1"/>
          <w:numId w:val="2"/>
        </w:numPr>
        <w:ind w:left="1440" w:hanging="360"/>
      </w:pPr>
      <w:r w:rsidDel="00000000" w:rsidR="00000000" w:rsidRPr="00000000">
        <w:rPr>
          <w:i w:val="1"/>
          <w:iCs w:val="1"/>
          <w:rtl w:val="0"/>
        </w:rPr>
        <w:t xml:space="preserve">Economic Value</w:t>
      </w:r>
      <w:r w:rsidDel="00000000" w:rsidR="00000000" w:rsidRPr="00000000">
        <w:rPr>
          <w:rtl w:val="0"/>
        </w:rPr>
        <w:t xml:space="preserve">: $2,399.52 Annual Run-Rate at risk.</w:t>
      </w:r>
    </w:p>
    <w:p w:rsidR="00000000" w:rsidDel="00000000" w:rsidP="00000000" w:rsidRDefault="00000000" w:rsidRPr="00000000" w14:paraId="000000DD">
      <w:pPr>
        <w:numPr>
          <w:ilvl w:val="1"/>
          <w:numId w:val="2"/>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Interactive Onboarding Redesign</w:t>
      </w:r>
      <w:r w:rsidDel="00000000" w:rsidR="00000000" w:rsidRPr="00000000">
        <w:rPr>
          <w:rtl w:val="0"/>
        </w:rPr>
        <w:t xml:space="preserve">: Replace open-ended onboarding with an in-app interactive setup checklist. Deploy automated health check-in nudges on Day 3 and Day 7, and embed self-serve documentation to eliminate basic setup tickets.</w:t>
      </w:r>
    </w:p>
    <w:p w:rsidR="00000000" w:rsidDel="00000000" w:rsidP="00000000" w:rsidRDefault="00000000" w:rsidRPr="00000000" w14:paraId="000000DE">
      <w:pPr>
        <w:numPr>
          <w:ilvl w:val="0"/>
          <w:numId w:val="2"/>
        </w:numPr>
        <w:ind w:left="720" w:hanging="360"/>
      </w:pPr>
      <w:r w:rsidDel="00000000" w:rsidR="00000000" w:rsidRPr="00000000">
        <w:rPr>
          <w:b w:val="1"/>
          <w:bCs w:val="1"/>
          <w:rtl w:val="0"/>
        </w:rPr>
        <w:t xml:space="preserve">Late Basic Churners (Tier 4 — Late Attrition)</w:t>
      </w:r>
      <w:r w:rsidDel="00000000" w:rsidR="00000000" w:rsidRPr="00000000">
        <w:rPr>
          <w:rtl w:val="0"/>
        </w:rPr>
      </w:r>
    </w:p>
    <w:p w:rsidR="00000000" w:rsidDel="00000000" w:rsidP="00000000" w:rsidRDefault="00000000" w:rsidRPr="00000000" w14:paraId="000000DF">
      <w:pPr>
        <w:numPr>
          <w:ilvl w:val="1"/>
          <w:numId w:val="2"/>
        </w:numPr>
        <w:ind w:left="1440" w:hanging="360"/>
      </w:pPr>
      <w:r w:rsidDel="00000000" w:rsidR="00000000" w:rsidRPr="00000000">
        <w:rPr>
          <w:i w:val="1"/>
          <w:iCs w:val="1"/>
          <w:rtl w:val="0"/>
        </w:rPr>
        <w:t xml:space="preserve">Economic Value</w:t>
      </w:r>
      <w:r w:rsidDel="00000000" w:rsidR="00000000" w:rsidRPr="00000000">
        <w:rPr>
          <w:rtl w:val="0"/>
        </w:rPr>
        <w:t xml:space="preserve">: $599.88 Annual Run-Rate.</w:t>
      </w:r>
    </w:p>
    <w:p w:rsidR="00000000" w:rsidDel="00000000" w:rsidP="00000000" w:rsidRDefault="00000000" w:rsidRPr="00000000" w14:paraId="000000E0">
      <w:pPr>
        <w:numPr>
          <w:ilvl w:val="1"/>
          <w:numId w:val="2"/>
        </w:numPr>
        <w:ind w:left="1440" w:hanging="360"/>
      </w:pPr>
      <w:r w:rsidDel="00000000" w:rsidR="00000000" w:rsidRPr="00000000">
        <w:rPr>
          <w:i w:val="1"/>
          <w:iCs w:val="1"/>
          <w:rtl w:val="0"/>
        </w:rPr>
        <w:t xml:space="preserve">Playbook</w:t>
      </w:r>
      <w:r w:rsidDel="00000000" w:rsidR="00000000" w:rsidRPr="00000000">
        <w:rPr>
          <w:rtl w:val="0"/>
        </w:rPr>
        <w:t xml:space="preserve">: </w:t>
      </w:r>
      <w:r w:rsidDel="00000000" w:rsidR="00000000" w:rsidRPr="00000000">
        <w:rPr>
          <w:b w:val="1"/>
          <w:bCs w:val="1"/>
          <w:rtl w:val="0"/>
        </w:rPr>
        <w:t xml:space="preserve">Month 6 Contract Transition Milestone</w:t>
      </w:r>
      <w:r w:rsidDel="00000000" w:rsidR="00000000" w:rsidRPr="00000000">
        <w:rPr>
          <w:rtl w:val="0"/>
        </w:rPr>
        <w:t xml:space="preserve">: Offer an automated conversion incentive granting 2 months free upon upgrading to an annual contract.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130fv1bkvtb3" w:id="16"/>
      <w:bookmarkEnd w:id="16"/>
      <w:r w:rsidDel="00000000" w:rsidR="00000000" w:rsidRPr="00000000">
        <w:rPr>
          <w:b w:val="1"/>
          <w:bCs w:val="1"/>
          <w:rtl w:val="0"/>
        </w:rPr>
        <w:t xml:space="preserve">8. OPERATIONAL IMPLEMENTATION &amp; GOVERNANCE ROADMAP</w:t>
      </w:r>
      <w:r w:rsidDel="00000000" w:rsidR="00000000" w:rsidRPr="00000000">
        <w:rPr>
          <w:rtl w:val="0"/>
        </w:rPr>
      </w:r>
    </w:p>
    <w:p w:rsidR="00000000" w:rsidDel="00000000" w:rsidP="00000000" w:rsidRDefault="00000000" w:rsidRPr="00000000" w14:paraId="000000E3">
      <w:pPr>
        <w:numPr>
          <w:ilvl w:val="0"/>
          <w:numId w:val="11"/>
        </w:numPr>
        <w:ind w:left="720" w:hanging="360"/>
      </w:pPr>
      <w:r w:rsidDel="00000000" w:rsidR="00000000" w:rsidRPr="00000000">
        <w:rPr>
          <w:b w:val="1"/>
          <w:bCs w:val="1"/>
          <w:rtl w:val="0"/>
        </w:rPr>
        <w:t xml:space="preserve">Daily Scoring Pipeline</w:t>
      </w:r>
      <w:r w:rsidDel="00000000" w:rsidR="00000000" w:rsidRPr="00000000">
        <w:rPr>
          <w:rtl w:val="0"/>
        </w:rPr>
        <w:t xml:space="preserve">: Automate daily calculation of S_contract, S_support, S_tenure, and S_payment across our production billing and ticketing databases.</w:t>
      </w:r>
    </w:p>
    <w:p w:rsidR="00000000" w:rsidDel="00000000" w:rsidP="00000000" w:rsidRDefault="00000000" w:rsidRPr="00000000" w14:paraId="000000E4">
      <w:pPr>
        <w:numPr>
          <w:ilvl w:val="0"/>
          <w:numId w:val="11"/>
        </w:numPr>
        <w:ind w:left="720" w:hanging="360"/>
      </w:pPr>
      <w:r w:rsidDel="00000000" w:rsidR="00000000" w:rsidRPr="00000000">
        <w:rPr>
          <w:b w:val="1"/>
          <w:bCs w:val="1"/>
          <w:rtl w:val="0"/>
        </w:rPr>
        <w:t xml:space="preserve">CRM &amp; Ticketing Integration</w:t>
      </w:r>
      <w:r w:rsidDel="00000000" w:rsidR="00000000" w:rsidRPr="00000000">
        <w:rPr>
          <w:rtl w:val="0"/>
        </w:rPr>
        <w:t xml:space="preserve">:</w:t>
      </w:r>
    </w:p>
    <w:p w:rsidR="00000000" w:rsidDel="00000000" w:rsidP="00000000" w:rsidRDefault="00000000" w:rsidRPr="00000000" w14:paraId="000000E5">
      <w:pPr>
        <w:numPr>
          <w:ilvl w:val="1"/>
          <w:numId w:val="11"/>
        </w:numPr>
        <w:ind w:left="1440" w:hanging="360"/>
      </w:pPr>
      <w:r w:rsidDel="00000000" w:rsidR="00000000" w:rsidRPr="00000000">
        <w:rPr>
          <w:rtl w:val="0"/>
        </w:rPr>
        <w:t xml:space="preserve">Push Churn-Risk Scores directly into Salesforce and Zendesk user profiles.</w:t>
      </w:r>
    </w:p>
    <w:p w:rsidR="00000000" w:rsidDel="00000000" w:rsidP="00000000" w:rsidRDefault="00000000" w:rsidRPr="00000000" w14:paraId="000000E6">
      <w:pPr>
        <w:numPr>
          <w:ilvl w:val="1"/>
          <w:numId w:val="11"/>
        </w:numPr>
        <w:ind w:left="1440" w:hanging="360"/>
      </w:pPr>
      <w:r w:rsidDel="00000000" w:rsidR="00000000" w:rsidRPr="00000000">
        <w:rPr>
          <w:rtl w:val="0"/>
        </w:rPr>
        <w:t xml:space="preserve">Configure Zendesk automated triggers: any ticket created by a High-Risk customer (&gt;= 65) is automatically flagged as </w:t>
      </w:r>
      <w:r w:rsidDel="00000000" w:rsidR="00000000" w:rsidRPr="00000000">
        <w:rPr>
          <w:rFonts w:ascii="Consolas" w:cs="Consolas" w:eastAsia="Consolas" w:hAnsi="Consolas"/>
          <w:rtl w:val="0"/>
        </w:rPr>
        <w:t xml:space="preserve">Priority: Urgent</w:t>
      </w:r>
      <w:r w:rsidDel="00000000" w:rsidR="00000000" w:rsidRPr="00000000">
        <w:rPr>
          <w:rtl w:val="0"/>
        </w:rPr>
        <w:t xml:space="preserve"> and routed to the Senior Tier-3 queue.</w:t>
      </w:r>
    </w:p>
    <w:p w:rsidR="00000000" w:rsidDel="00000000" w:rsidP="00000000" w:rsidRDefault="00000000" w:rsidRPr="00000000" w14:paraId="000000E7">
      <w:pPr>
        <w:numPr>
          <w:ilvl w:val="0"/>
          <w:numId w:val="11"/>
        </w:numPr>
        <w:ind w:left="720" w:hanging="360"/>
      </w:pPr>
      <w:r w:rsidDel="00000000" w:rsidR="00000000" w:rsidRPr="00000000">
        <w:rPr>
          <w:b w:val="1"/>
          <w:bCs w:val="1"/>
          <w:rtl w:val="0"/>
        </w:rPr>
        <w:t xml:space="preserve">CSM Incentive Alignment</w:t>
      </w:r>
      <w:r w:rsidDel="00000000" w:rsidR="00000000" w:rsidRPr="00000000">
        <w:rPr>
          <w:rtl w:val="0"/>
        </w:rPr>
        <w:t xml:space="preserve">: Tie CSM compensation and retention bonuses to Net Revenue Retention (NRR) within the Pro and Enterprise cohorts, with specific KPIs around converting Month-to-Month accounts to annual agreements.</w:t>
      </w:r>
    </w:p>
    <w:p w:rsidR="00000000" w:rsidDel="00000000" w:rsidP="00000000" w:rsidRDefault="00000000" w:rsidRPr="00000000" w14:paraId="000000E8">
      <w:pPr>
        <w:numPr>
          <w:ilvl w:val="0"/>
          <w:numId w:val="11"/>
        </w:numPr>
        <w:ind w:left="720" w:hanging="360"/>
      </w:pPr>
      <w:r w:rsidDel="00000000" w:rsidR="00000000" w:rsidRPr="00000000">
        <w:rPr>
          <w:b w:val="1"/>
          <w:bCs w:val="1"/>
          <w:rtl w:val="0"/>
        </w:rPr>
        <w:t xml:space="preserve">90-Day Pilot Evaluation</w:t>
      </w:r>
      <w:r w:rsidDel="00000000" w:rsidR="00000000" w:rsidRPr="00000000">
        <w:rPr>
          <w:rtl w:val="0"/>
        </w:rPr>
        <w:t xml:space="preserve">: Launch playbooks across a 90-day pilot cohort. Target metrics:</w:t>
      </w:r>
    </w:p>
    <w:p w:rsidR="00000000" w:rsidDel="00000000" w:rsidP="00000000" w:rsidRDefault="00000000" w:rsidRPr="00000000" w14:paraId="000000E9">
      <w:pPr>
        <w:numPr>
          <w:ilvl w:val="1"/>
          <w:numId w:val="11"/>
        </w:numPr>
        <w:ind w:left="1440" w:hanging="360"/>
      </w:pPr>
      <w:r w:rsidDel="00000000" w:rsidR="00000000" w:rsidRPr="00000000">
        <w:rPr>
          <w:rtl w:val="0"/>
        </w:rPr>
        <w:t xml:space="preserve">40% reduction in Month-to-Month Pro tier churn.</w:t>
      </w:r>
    </w:p>
    <w:p w:rsidR="00000000" w:rsidDel="00000000" w:rsidP="00000000" w:rsidRDefault="00000000" w:rsidRPr="00000000" w14:paraId="000000EA">
      <w:pPr>
        <w:numPr>
          <w:ilvl w:val="1"/>
          <w:numId w:val="11"/>
        </w:numPr>
        <w:ind w:left="1440" w:hanging="360"/>
      </w:pPr>
      <w:r w:rsidDel="00000000" w:rsidR="00000000" w:rsidRPr="00000000">
        <w:rPr>
          <w:rtl w:val="0"/>
        </w:rPr>
        <w:t xml:space="preserve">30% reduction in support ticket volume during the first 60 days of onboarding.</w:t>
      </w:r>
    </w:p>
    <w:p w:rsidR="00000000" w:rsidDel="00000000" w:rsidP="00000000" w:rsidRDefault="00000000" w:rsidRPr="00000000" w14:paraId="000000EB">
      <w:pPr>
        <w:numPr>
          <w:ilvl w:val="1"/>
          <w:numId w:val="11"/>
        </w:numPr>
        <w:ind w:left="1440" w:hanging="360"/>
      </w:pPr>
      <w:r w:rsidDel="00000000" w:rsidR="00000000" w:rsidRPr="00000000">
        <w:rPr>
          <w:rtl w:val="0"/>
        </w:rPr>
        <w:t xml:space="preserve">100% renewal rate for Enterprise Anchors.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bookmarkStart w:colFirst="0" w:colLast="0" w:name="_4q8dhzglem8d" w:id="17"/>
      <w:bookmarkEnd w:id="17"/>
      <w:r w:rsidDel="00000000" w:rsidR="00000000" w:rsidRPr="00000000">
        <w:rPr>
          <w:b w:val="1"/>
          <w:bCs w:val="1"/>
          <w:rtl w:val="0"/>
        </w:rPr>
        <w:t xml:space="preserve">9. PROJECT REPOSITORY &amp; SUPPORTING ARTIFACTS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All supporting technical artifacts, scripts, and tables are maintained in the unified project workspace:</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Central Project Google Drive Folder</w:t>
      </w:r>
      <w:r w:rsidDel="00000000" w:rsidR="00000000" w:rsidRPr="00000000">
        <w:rPr>
          <w:rtl w:val="0"/>
        </w:rPr>
        <w:t xml:space="preserve">: </w:t>
      </w:r>
      <w:hyperlink r:id="rId7">
        <w:r w:rsidDel="00000000" w:rsidR="00000000" w:rsidRPr="00000000">
          <w:rPr>
            <w:color w:val="1155cc"/>
            <w:u w:val="single"/>
            <w:rtl w:val="0"/>
          </w:rPr>
          <w:t xml:space="preserve">Customer Segmentation &amp; Churn Risk Project Deliverables</w:t>
        </w:r>
      </w:hyperlink>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b w:val="1"/>
          <w:bCs w:val="1"/>
          <w:rtl w:val="0"/>
        </w:rPr>
        <w:t xml:space="preserve">Analysis Notebook</w:t>
      </w:r>
      <w:r w:rsidDel="00000000" w:rsidR="00000000" w:rsidRPr="00000000">
        <w:rPr>
          <w:rtl w:val="0"/>
        </w:rPr>
        <w:t xml:space="preserve">: </w:t>
      </w:r>
      <w:r w:rsidDel="00000000" w:rsidR="00000000" w:rsidRPr="00000000">
        <w:rPr>
          <w:rFonts w:ascii="Consolas" w:cs="Consolas" w:eastAsia="Consolas" w:hAnsi="Consolas"/>
          <w:rtl w:val="0"/>
        </w:rPr>
        <w:t xml:space="preserve">customer_segmentation_churn_model.ipynb</w:t>
      </w:r>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b w:val="1"/>
          <w:bCs w:val="1"/>
          <w:rtl w:val="0"/>
        </w:rPr>
        <w:t xml:space="preserve">Interactive Web Report</w:t>
      </w:r>
      <w:r w:rsidDel="00000000" w:rsidR="00000000" w:rsidRPr="00000000">
        <w:rPr>
          <w:rtl w:val="0"/>
        </w:rPr>
        <w:t xml:space="preserve">: </w:t>
      </w:r>
      <w:r w:rsidDel="00000000" w:rsidR="00000000" w:rsidRPr="00000000">
        <w:rPr>
          <w:rFonts w:ascii="Consolas" w:cs="Consolas" w:eastAsia="Consolas" w:hAnsi="Consolas"/>
          <w:rtl w:val="0"/>
        </w:rPr>
        <w:t xml:space="preserve">customer_segmentation_churn_model.html</w:t>
      </w: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b w:val="1"/>
          <w:bCs w:val="1"/>
          <w:rtl w:val="0"/>
        </w:rPr>
        <w:t xml:space="preserve">Customer Scoring Dataset</w:t>
      </w:r>
      <w:r w:rsidDel="00000000" w:rsidR="00000000" w:rsidRPr="00000000">
        <w:rPr>
          <w:rtl w:val="0"/>
        </w:rPr>
        <w:t xml:space="preserve">: </w:t>
      </w:r>
      <w:r w:rsidDel="00000000" w:rsidR="00000000" w:rsidRPr="00000000">
        <w:rPr>
          <w:rFonts w:ascii="Consolas" w:cs="Consolas" w:eastAsia="Consolas" w:hAnsi="Consolas"/>
          <w:rtl w:val="0"/>
        </w:rPr>
        <w:t xml:space="preserve">customer_scoring_and_segmentation.csv</w:t>
      </w: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b w:val="1"/>
          <w:bCs w:val="1"/>
          <w:rtl w:val="0"/>
        </w:rPr>
        <w:t xml:space="preserve">Segment Summary Table</w:t>
      </w:r>
      <w:r w:rsidDel="00000000" w:rsidR="00000000" w:rsidRPr="00000000">
        <w:rPr>
          <w:rtl w:val="0"/>
        </w:rPr>
        <w:t xml:space="preserve">: </w:t>
      </w:r>
      <w:r w:rsidDel="00000000" w:rsidR="00000000" w:rsidRPr="00000000">
        <w:rPr>
          <w:rFonts w:ascii="Consolas" w:cs="Consolas" w:eastAsia="Consolas" w:hAnsi="Consolas"/>
          <w:rtl w:val="0"/>
        </w:rPr>
        <w:t xml:space="preserve">customer_segments_summary.csv</w:t>
      </w:r>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Multi-Tab Excel Model</w:t>
      </w:r>
      <w:r w:rsidDel="00000000" w:rsidR="00000000" w:rsidRPr="00000000">
        <w:rPr>
          <w:rtl w:val="0"/>
        </w:rPr>
        <w:t xml:space="preserve">: </w:t>
      </w:r>
      <w:r w:rsidDel="00000000" w:rsidR="00000000" w:rsidRPr="00000000">
        <w:rPr>
          <w:rFonts w:ascii="Consolas" w:cs="Consolas" w:eastAsia="Consolas" w:hAnsi="Consolas"/>
          <w:rtl w:val="0"/>
        </w:rPr>
        <w:t xml:space="preserve">customer_segments_and_churn_scores.xlsx</w:t>
      </w:r>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b w:val="1"/>
          <w:bCs w:val="1"/>
          <w:rtl w:val="0"/>
        </w:rPr>
        <w:t xml:space="preserve">Edge-Case Validation Log</w:t>
      </w:r>
      <w:r w:rsidDel="00000000" w:rsidR="00000000" w:rsidRPr="00000000">
        <w:rPr>
          <w:rtl w:val="0"/>
        </w:rPr>
        <w:t xml:space="preserve">: </w:t>
      </w:r>
      <w:r w:rsidDel="00000000" w:rsidR="00000000" w:rsidRPr="00000000">
        <w:rPr>
          <w:rFonts w:ascii="Consolas" w:cs="Consolas" w:eastAsia="Consolas" w:hAnsi="Consolas"/>
          <w:rtl w:val="0"/>
        </w:rPr>
        <w:t xml:space="preserve">edge_case_validation_results.csv</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0-grp6VV-LQC4BgU7b9RLmhf_j20UvI" TargetMode="External"/><Relationship Id="rId7" Type="http://schemas.openxmlformats.org/officeDocument/2006/relationships/hyperlink" Target="https://drive.google.com/drive/folders/1f0-grp6VV-LQC4BgU7b9RLmhf_j20U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