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FAFB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750" w:lineRule="auto"/>
        <w:ind w:left="900" w:right="9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Rule="auto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Customer Segmentation &amp; Explainable Churn-Risk Model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5" w:before="210" w:lineRule="auto"/>
        <w:ind w:left="1170" w:right="117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170" w:right="1170" w:firstLine="0"/>
        <w:rPr>
          <w:color w:val="374151"/>
          <w:shd w:fill="f8fafc" w:val="clear"/>
        </w:rPr>
      </w:pPr>
      <w:r w:rsidDel="00000000" w:rsidR="00000000" w:rsidRPr="00000000">
        <w:rPr>
          <w:b w:val="1"/>
          <w:bCs w:val="1"/>
          <w:color w:val="374151"/>
          <w:shd w:fill="f8fafc" w:val="clear"/>
          <w:rtl w:val="0"/>
        </w:rPr>
        <w:t xml:space="preserve">Track:</w:t>
      </w:r>
      <w:r w:rsidDel="00000000" w:rsidR="00000000" w:rsidRPr="00000000">
        <w:rPr>
          <w:color w:val="374151"/>
          <w:shd w:fill="f8fafc" w:val="clear"/>
          <w:rtl w:val="0"/>
        </w:rPr>
        <w:t xml:space="preserve"> Data Analytics | Customer Success Operations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170" w:right="1170" w:firstLine="0"/>
        <w:rPr>
          <w:color w:val="374151"/>
          <w:shd w:fill="f8fafc" w:val="clear"/>
        </w:rPr>
      </w:pPr>
      <w:r w:rsidDel="00000000" w:rsidR="00000000" w:rsidRPr="00000000">
        <w:rPr>
          <w:b w:val="1"/>
          <w:bCs w:val="1"/>
          <w:color w:val="374151"/>
          <w:shd w:fill="f8fafc" w:val="clear"/>
          <w:rtl w:val="0"/>
        </w:rPr>
        <w:t xml:space="preserve">Objective:</w:t>
      </w:r>
      <w:r w:rsidDel="00000000" w:rsidR="00000000" w:rsidRPr="00000000">
        <w:rPr>
          <w:color w:val="374151"/>
          <w:shd w:fill="f8fafc" w:val="clear"/>
          <w:rtl w:val="0"/>
        </w:rPr>
        <w:t xml:space="preserve"> Transition from descriptive lagging metrics to an explainable, rule-based prioritization model.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170" w:right="1170" w:firstLine="0"/>
        <w:rPr>
          <w:color w:val="374151"/>
          <w:shd w:fill="f8fafc" w:val="clear"/>
        </w:rPr>
      </w:pPr>
      <w:r w:rsidDel="00000000" w:rsidR="00000000" w:rsidRPr="00000000">
        <w:rPr>
          <w:b w:val="1"/>
          <w:bCs w:val="1"/>
          <w:color w:val="374151"/>
          <w:shd w:fill="f8fafc" w:val="clear"/>
          <w:rtl w:val="0"/>
        </w:rPr>
        <w:t xml:space="preserve">Deliverable Set:</w:t>
      </w:r>
      <w:r w:rsidDel="00000000" w:rsidR="00000000" w:rsidRPr="00000000">
        <w:rPr>
          <w:color w:val="374151"/>
          <w:shd w:fill="f8fafc" w:val="clear"/>
          <w:rtl w:val="0"/>
        </w:rPr>
        <w:t xml:space="preserve"> End-to-End Analysis Notebook, Cohort Table, and Recommendation Memo.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Executive Summary &amp; Objective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color w:val="37415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74151"/>
          <w:highlight w:val="white"/>
          <w:rtl w:val="0"/>
        </w:rPr>
        <w:t xml:space="preserve">Subscription businesses face structural churn when customer friction encounters low switching barriers. While machine learning black-box models offer predictive accuracy, Customer Success Managers (CSMs) and Account Executives require </w:t>
      </w:r>
      <w:r w:rsidDel="00000000" w:rsidR="00000000" w:rsidRPr="00000000">
        <w:rPr>
          <w:b w:val="1"/>
          <w:bCs w:val="1"/>
          <w:color w:val="374151"/>
          <w:highlight w:val="white"/>
          <w:rtl w:val="0"/>
        </w:rPr>
        <w:t xml:space="preserve">explainability and actionable transparency</w:t>
      </w:r>
      <w:r w:rsidDel="00000000" w:rsidR="00000000" w:rsidRPr="00000000">
        <w:rPr>
          <w:color w:val="374151"/>
          <w:highlight w:val="white"/>
          <w:rtl w:val="0"/>
        </w:rPr>
        <w:t xml:space="preserve"> to intervene before cancellation occurs. This analysis develops a deterministic, 0–100 point rule-based scoring engine validated against empirical data and stress-tested with operational edge cases.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Feature Selection &amp; Engineering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color w:val="37415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74151"/>
          <w:highlight w:val="white"/>
          <w:rtl w:val="0"/>
        </w:rPr>
        <w:t xml:space="preserve">We engineered key account commitment and behavioral friction features: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0" w:right="900" w:hanging="360"/>
      </w:pPr>
      <w:r w:rsidDel="00000000" w:rsidR="00000000" w:rsidRPr="00000000">
        <w:rPr>
          <w:b w:val="1"/>
          <w:bCs w:val="1"/>
          <w:color w:val="374151"/>
          <w:highlight w:val="white"/>
          <w:rtl w:val="0"/>
        </w:rPr>
        <w:t xml:space="preserve">Contract Commitment (ContractType):</w:t>
      </w:r>
      <w:r w:rsidDel="00000000" w:rsidR="00000000" w:rsidRPr="00000000">
        <w:rPr>
          <w:color w:val="374151"/>
          <w:highlight w:val="white"/>
          <w:rtl w:val="0"/>
        </w:rPr>
        <w:t xml:space="preserve"> Defines the structural switching cost. Month-to-Month customers can exit at any billing cycle (100% of historical churners were Month-to-Month).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0" w:right="900" w:hanging="360"/>
      </w:pPr>
      <w:r w:rsidDel="00000000" w:rsidR="00000000" w:rsidRPr="00000000">
        <w:rPr>
          <w:b w:val="1"/>
          <w:bCs w:val="1"/>
          <w:color w:val="374151"/>
          <w:highlight w:val="white"/>
          <w:rtl w:val="0"/>
        </w:rPr>
        <w:t xml:space="preserve">Support Velocity (SupportTicketRate):</w:t>
      </w:r>
      <w:r w:rsidDel="00000000" w:rsidR="00000000" w:rsidRPr="00000000">
        <w:rPr>
          <w:color w:val="374151"/>
          <w:highlight w:val="white"/>
          <w:rtl w:val="0"/>
        </w:rPr>
        <w:t xml:space="preserve"> Calculated as SupportTickets / TenureMonths. Captures acute friction intensity, distinguishing early onboarding crises from multi-year maintenance.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0" w:right="900" w:hanging="360"/>
      </w:pPr>
      <w:r w:rsidDel="00000000" w:rsidR="00000000" w:rsidRPr="00000000">
        <w:rPr>
          <w:b w:val="1"/>
          <w:bCs w:val="1"/>
          <w:color w:val="374151"/>
          <w:highlight w:val="white"/>
          <w:rtl w:val="0"/>
        </w:rPr>
        <w:t xml:space="preserve">Tenure Cohort (TenureCohort):</w:t>
      </w:r>
      <w:r w:rsidDel="00000000" w:rsidR="00000000" w:rsidRPr="00000000">
        <w:rPr>
          <w:color w:val="374151"/>
          <w:highlight w:val="white"/>
          <w:rtl w:val="0"/>
        </w:rPr>
        <w:t xml:space="preserve"> Segmented into 0-6m (Onboarding), 7-12m (Early Adoption), 13-24m (Established), and 25m+ (Mature).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0" w:right="900" w:hanging="360"/>
      </w:pPr>
      <w:r w:rsidDel="00000000" w:rsidR="00000000" w:rsidRPr="00000000">
        <w:rPr>
          <w:b w:val="1"/>
          <w:bCs w:val="1"/>
          <w:color w:val="374151"/>
          <w:highlight w:val="white"/>
          <w:rtl w:val="0"/>
        </w:rPr>
        <w:t xml:space="preserve">Payment Channel Vulnerability (PaymentMethod):</w:t>
      </w:r>
      <w:r w:rsidDel="00000000" w:rsidR="00000000" w:rsidRPr="00000000">
        <w:rPr>
          <w:color w:val="374151"/>
          <w:highlight w:val="white"/>
          <w:rtl w:val="0"/>
        </w:rPr>
        <w:t xml:space="preserve"> Identifies transactional friction. UPI and Debit Card payments introduce manual re-authorization friction compared to automated Bank Transfers and Credit Cards.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Explainable Churn-Risk Scoring Architecture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900" w:right="900" w:firstLine="0"/>
        <w:rPr>
          <w:color w:val="37415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74151"/>
          <w:highlight w:val="white"/>
          <w:rtl w:val="0"/>
        </w:rPr>
        <w:t xml:space="preserve">The scoring engine allocates 100 points across four transparent dimensions:</w:t>
      </w:r>
    </w:p>
    <w:tbl>
      <w:tblPr>
        <w:tblStyle w:val="Table1"/>
        <w:tblW w:w="7560.0" w:type="dxa"/>
        <w:jc w:val="left"/>
        <w:tblInd w:w="900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600"/>
      </w:tblPr>
      <w:tblGrid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Dimension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Max Points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Condition / Rule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Points Assigned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900" w:right="90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Contract Vulnerability</w:t>
            </w:r>
          </w:p>
        </w:tc>
        <w:tc>
          <w:tcPr>
            <w:vMerge w:val="restart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Month-to-Month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40 pts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Contract Vulnerability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One Year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 pts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Contract Vulnerability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Two Year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 pts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Support Friction &amp; Velocity</w:t>
            </w:r>
          </w:p>
        </w:tc>
        <w:tc>
          <w:tcPr>
            <w:vMerge w:val="restart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Nova Mono" w:cs="Nova Mono" w:eastAsia="Nova Mono" w:hAnsi="Nova Mono"/>
                <w:shd w:fill="auto" w:val="clear"/>
                <w:rtl w:val="0"/>
              </w:rPr>
              <w:t xml:space="preserve">Support Tickets ≥ 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35 pts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Support Friction &amp; Velocity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Nova Mono" w:cs="Nova Mono" w:eastAsia="Nova Mono" w:hAnsi="Nova Mono"/>
                <w:shd w:fill="auto" w:val="clear"/>
                <w:rtl w:val="0"/>
              </w:rPr>
              <w:t xml:space="preserve">Support Tickets ∈ [3, 4]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25 pts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Support Friction &amp; Velocity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Nova Mono" w:cs="Nova Mono" w:eastAsia="Nova Mono" w:hAnsi="Nova Mono"/>
                <w:shd w:fill="auto" w:val="clear"/>
                <w:rtl w:val="0"/>
              </w:rPr>
              <w:t xml:space="preserve">Support Tickets ∈ [1, 2]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 pts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Support Friction &amp; Velocity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Support Tickets = 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 pts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Tenure Lifecycle Stage</w:t>
            </w:r>
          </w:p>
        </w:tc>
        <w:tc>
          <w:tcPr>
            <w:vMerge w:val="restart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Nova Mono" w:cs="Nova Mono" w:eastAsia="Nova Mono" w:hAnsi="Nova Mono"/>
                <w:shd w:fill="auto" w:val="clear"/>
                <w:rtl w:val="0"/>
              </w:rPr>
              <w:t xml:space="preserve">Tenure ≤ 6 months (Onboarding)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Tenure Lifecycle Stage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Nova Mono" w:cs="Nova Mono" w:eastAsia="Nova Mono" w:hAnsi="Nova Mono"/>
                <w:shd w:fill="auto" w:val="clear"/>
                <w:rtl w:val="0"/>
              </w:rPr>
              <w:t xml:space="preserve">Tenure ∈ [7, 12] months (Adoption)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 pts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Tenure Lifecycle Stage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rFonts w:ascii="Nova Mono" w:cs="Nova Mono" w:eastAsia="Nova Mono" w:hAnsi="Nova Mono"/>
                <w:shd w:fill="auto" w:val="clear"/>
                <w:rtl w:val="0"/>
              </w:rPr>
              <w:t xml:space="preserve">Tenure ∈ [13, 24] months (Established)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 pts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Tenure Lifecycle Stage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Tenure &gt; 24 months (Mature)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 pts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Payment Channel Friction</w:t>
            </w:r>
          </w:p>
        </w:tc>
        <w:tc>
          <w:tcPr>
            <w:vMerge w:val="restart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Debit Card / UPI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 pts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Payment Channel Friction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Credit Card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Payment Channel Friction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Bank Transfer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 pts</w:t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540" w:lineRule="auto"/>
        <w:ind w:left="1740" w:right="1140" w:firstLine="0"/>
        <w:rPr>
          <w:b w:val="1"/>
          <w:bCs w:val="1"/>
          <w:shd w:fill="eff6ff" w:val="clear"/>
        </w:rPr>
      </w:pPr>
      <w:r w:rsidDel="00000000" w:rsidR="00000000" w:rsidRPr="00000000">
        <w:rPr>
          <w:b w:val="1"/>
          <w:bCs w:val="1"/>
          <w:shd w:fill="eff6ff" w:val="clear"/>
          <w:rtl w:val="0"/>
        </w:rPr>
        <w:t xml:space="preserve">Triage Tiers: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740" w:right="1140" w:hanging="360"/>
      </w:pPr>
      <w:r w:rsidDel="00000000" w:rsidR="00000000" w:rsidRPr="00000000">
        <w:rPr>
          <w:b w:val="1"/>
          <w:bCs w:val="1"/>
          <w:color w:val="065f46"/>
          <w:shd w:fill="d1fae5" w:val="clear"/>
          <w:rtl w:val="0"/>
        </w:rPr>
        <w:t xml:space="preserve">Low Risk (0 - 34)</w:t>
      </w:r>
      <w:r w:rsidDel="00000000" w:rsidR="00000000" w:rsidRPr="00000000">
        <w:rPr>
          <w:color w:val="374151"/>
          <w:shd w:fill="eff6ff" w:val="clear"/>
          <w:rtl w:val="0"/>
        </w:rPr>
        <w:t xml:space="preserve">: Accounts are stable; focus on expansion, advocacy, and multi-year contract renewals.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740" w:right="1140" w:hanging="360"/>
      </w:pPr>
      <w:r w:rsidDel="00000000" w:rsidR="00000000" w:rsidRPr="00000000">
        <w:rPr>
          <w:b w:val="1"/>
          <w:bCs w:val="1"/>
          <w:color w:val="92400e"/>
          <w:shd w:fill="fef3c7" w:val="clear"/>
          <w:rtl w:val="0"/>
        </w:rPr>
        <w:t xml:space="preserve">Medium Risk (35 - 64)</w:t>
      </w:r>
      <w:r w:rsidDel="00000000" w:rsidR="00000000" w:rsidRPr="00000000">
        <w:rPr>
          <w:color w:val="374151"/>
          <w:shd w:fill="eff6ff" w:val="clear"/>
          <w:rtl w:val="0"/>
        </w:rPr>
        <w:t xml:space="preserve">: Proactive intervention zone; flags emerging friction or uncontracted accounts before churn occurs.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740" w:right="1140" w:hanging="360"/>
      </w:pPr>
      <w:r w:rsidDel="00000000" w:rsidR="00000000" w:rsidRPr="00000000">
        <w:rPr>
          <w:b w:val="1"/>
          <w:bCs w:val="1"/>
          <w:color w:val="991b1b"/>
          <w:shd w:fill="fee2e2" w:val="clear"/>
          <w:rtl w:val="0"/>
        </w:rPr>
        <w:t xml:space="preserve">High Risk (65 - 100)</w:t>
      </w:r>
      <w:r w:rsidDel="00000000" w:rsidR="00000000" w:rsidRPr="00000000">
        <w:rPr>
          <w:color w:val="374151"/>
          <w:shd w:fill="eff6ff" w:val="clear"/>
          <w:rtl w:val="0"/>
        </w:rPr>
        <w:t xml:space="preserve">: Critical flight risk; triggers immediate 24-hour executive/CSM rescue outreach.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 Empirical Dataset Validation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900" w:right="900" w:firstLine="0"/>
        <w:rPr>
          <w:color w:val="37415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74151"/>
          <w:highlight w:val="white"/>
          <w:rtl w:val="0"/>
        </w:rPr>
        <w:t xml:space="preserve">The model was tested against all 15 customer records in the dataset. Historical churners achieved scores between </w:t>
      </w:r>
      <w:r w:rsidDel="00000000" w:rsidR="00000000" w:rsidRPr="00000000">
        <w:rPr>
          <w:b w:val="1"/>
          <w:bCs w:val="1"/>
          <w:color w:val="374151"/>
          <w:highlight w:val="white"/>
          <w:rtl w:val="0"/>
        </w:rPr>
        <w:t xml:space="preserve">75 and 100 (100% in High Risk)</w:t>
      </w:r>
      <w:r w:rsidDel="00000000" w:rsidR="00000000" w:rsidRPr="00000000">
        <w:rPr>
          <w:color w:val="374151"/>
          <w:highlight w:val="white"/>
          <w:rtl w:val="0"/>
        </w:rPr>
        <w:t xml:space="preserve">, while retained customers achieved scores between </w:t>
      </w:r>
      <w:r w:rsidDel="00000000" w:rsidR="00000000" w:rsidRPr="00000000">
        <w:rPr>
          <w:b w:val="1"/>
          <w:bCs w:val="1"/>
          <w:color w:val="374151"/>
          <w:highlight w:val="white"/>
          <w:rtl w:val="0"/>
        </w:rPr>
        <w:t xml:space="preserve">2 and 30 (100% in Low Risk)</w:t>
      </w:r>
      <w:r w:rsidDel="00000000" w:rsidR="00000000" w:rsidRPr="00000000">
        <w:rPr>
          <w:color w:val="37415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900" w:right="900" w:firstLine="0"/>
        <w:jc w:val="center"/>
        <w:rPr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Figure 1: Churn Risk Score vs. Support Tickets by Actual Churn Status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19040475" cy="9525000"/>
            <wp:effectExtent b="0" l="0" r="0" t="0"/>
            <wp:docPr descr="Figure 1: Score Distribution" id="1" name="image2.png"/>
            <a:graphic>
              <a:graphicData uri="http://schemas.openxmlformats.org/drawingml/2006/picture">
                <pic:pic>
                  <pic:nvPicPr>
                    <pic:cNvPr descr="Figure 1: Score Distribution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952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  <w:rtl w:val="0"/>
        </w:rPr>
        <w:t xml:space="preserve">5. Customer Prioritization Landscape &amp; Cohort Segmentation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900" w:right="900" w:firstLine="0"/>
        <w:rPr>
          <w:color w:val="37415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74151"/>
          <w:highlight w:val="white"/>
          <w:rtl w:val="0"/>
        </w:rPr>
        <w:t xml:space="preserve">By mapping customer economic value (Monthly Charges) against Churn Risk Score, revenue leaders can immediately prioritize retention investments.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900" w:right="900" w:firstLine="0"/>
        <w:jc w:val="center"/>
        <w:rPr>
          <w:color w:val="37415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Figure 2: Prioritization Matrix: Monthly Charges (Value) vs. Churn-Risk Score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19040475" cy="10391775"/>
            <wp:effectExtent b="0" l="0" r="0" t="0"/>
            <wp:docPr descr="Figure 2: Value vs Risk Matrix" id="3" name="image3.png"/>
            <a:graphic>
              <a:graphicData uri="http://schemas.openxmlformats.org/drawingml/2006/picture">
                <pic:pic>
                  <pic:nvPicPr>
                    <pic:cNvPr descr="Figure 2: Value vs Risk Matrix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1039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Figure 3: Churn Risk Score Component Breakdown by Segment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19040475" cy="10391775"/>
            <wp:effectExtent b="0" l="0" r="0" t="0"/>
            <wp:docPr descr="Figure 3: Component Breakdown" id="2" name="image1.png"/>
            <a:graphic>
              <a:graphicData uri="http://schemas.openxmlformats.org/drawingml/2006/picture">
                <pic:pic>
                  <pic:nvPicPr>
                    <pic:cNvPr descr="Figure 3: Component Breakdown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1039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  <w:rtl w:val="0"/>
        </w:rPr>
        <w:t xml:space="preserve">6. Customer Segment Summary Table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900" w:right="900" w:firstLine="0"/>
        <w:rPr>
          <w:color w:val="37415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74151"/>
          <w:highlight w:val="white"/>
          <w:rtl w:val="0"/>
        </w:rPr>
        <w:t xml:space="preserve">The 15 customers cluster into 6 actionable operational cohorts across 4 strategic tiers:</w:t>
      </w:r>
    </w:p>
    <w:tbl>
      <w:tblPr>
        <w:tblStyle w:val="Table2"/>
        <w:tblW w:w="7560.000000000001" w:type="dxa"/>
        <w:jc w:val="left"/>
        <w:tblInd w:w="900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60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tblGridChange w:id="0">
          <w:tblGrid>
            <w:gridCol w:w="756"/>
            <w:gridCol w:w="756"/>
            <w:gridCol w:w="756"/>
            <w:gridCol w:w="756"/>
            <w:gridCol w:w="756"/>
            <w:gridCol w:w="756"/>
            <w:gridCol w:w="756"/>
            <w:gridCol w:w="756"/>
            <w:gridCol w:w="756"/>
            <w:gridCol w:w="7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Granular Segment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Strategic Tier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Size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Churn Rate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Avg Tenure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Avg MRR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Total Historic Rev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Avg Tickets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Avg Risk Score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Dominant Risk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900" w:right="90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Enterprise Anchors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Tier 1: Pillars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0.0%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38.5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$149.99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$23,098.46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0.5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6.5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65f46"/>
                <w:shd w:fill="d1fae5" w:val="clear"/>
              </w:rPr>
            </w:pPr>
            <w:r w:rsidDel="00000000" w:rsidR="00000000" w:rsidRPr="00000000">
              <w:rPr>
                <w:b w:val="1"/>
                <w:bCs w:val="1"/>
                <w:color w:val="065f46"/>
                <w:shd w:fill="d1fae5" w:val="clear"/>
                <w:rtl w:val="0"/>
              </w:rPr>
              <w:t xml:space="preserve">Low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Committed Pro Growth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Tier 2: Annual Core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0.0%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19.5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$79.99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$3,119.61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26.0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65f46"/>
                <w:shd w:fill="d1fae5" w:val="clear"/>
              </w:rPr>
            </w:pPr>
            <w:r w:rsidDel="00000000" w:rsidR="00000000" w:rsidRPr="00000000">
              <w:rPr>
                <w:b w:val="1"/>
                <w:bCs w:val="1"/>
                <w:color w:val="065f46"/>
                <w:shd w:fill="d1fae5" w:val="clear"/>
                <w:rtl w:val="0"/>
              </w:rPr>
              <w:t xml:space="preserve">Low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Stable Basic Loyalists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Tier 2: Annual Core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0.0%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20.0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$49.99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$1,999.60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1.5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27.5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065f46"/>
                <w:shd w:fill="d1fae5" w:val="clear"/>
              </w:rPr>
            </w:pPr>
            <w:r w:rsidDel="00000000" w:rsidR="00000000" w:rsidRPr="00000000">
              <w:rPr>
                <w:b w:val="1"/>
                <w:bCs w:val="1"/>
                <w:color w:val="065f46"/>
                <w:shd w:fill="d1fae5" w:val="clear"/>
                <w:rtl w:val="0"/>
              </w:rPr>
              <w:t xml:space="preserve">Low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High-Value Flight Risk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Tier 3: Vulnerable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100.0%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11.0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$79.99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$1,759.78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78.5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991b1b"/>
                <w:shd w:fill="fee2e2" w:val="clear"/>
              </w:rPr>
            </w:pPr>
            <w:r w:rsidDel="00000000" w:rsidR="00000000" w:rsidRPr="00000000">
              <w:rPr>
                <w:b w:val="1"/>
                <w:bCs w:val="1"/>
                <w:color w:val="991b1b"/>
                <w:shd w:fill="fee2e2" w:val="clear"/>
                <w:rtl w:val="0"/>
              </w:rPr>
              <w:t xml:space="preserve">High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Early Onboarding Drop-offs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Tier 4: Attrition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100.0%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3.8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$49.99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$749.85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5.0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96.8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991b1b"/>
                <w:shd w:fill="fee2e2" w:val="clear"/>
              </w:rPr>
            </w:pPr>
            <w:r w:rsidDel="00000000" w:rsidR="00000000" w:rsidRPr="00000000">
              <w:rPr>
                <w:b w:val="1"/>
                <w:bCs w:val="1"/>
                <w:color w:val="991b1b"/>
                <w:shd w:fill="fee2e2" w:val="clear"/>
                <w:rtl w:val="0"/>
              </w:rPr>
              <w:t xml:space="preserve">High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Late Basic Churners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Tier 4: Attrition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100.0%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12.0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$49.99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$599.88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3.0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79.0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991b1b"/>
                <w:shd w:fill="fee2e2" w:val="clear"/>
              </w:rPr>
            </w:pPr>
            <w:r w:rsidDel="00000000" w:rsidR="00000000" w:rsidRPr="00000000">
              <w:rPr>
                <w:b w:val="1"/>
                <w:bCs w:val="1"/>
                <w:color w:val="991b1b"/>
                <w:shd w:fill="fee2e2" w:val="clear"/>
                <w:rtl w:val="0"/>
              </w:rPr>
              <w:t xml:space="preserve">High Risk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900" w:right="900" w:firstLine="0"/>
        <w:jc w:val="center"/>
        <w:rPr>
          <w:b w:val="1"/>
          <w:bCs w:val="1"/>
          <w:color w:val="991b1b"/>
          <w:shd w:fill="fee2e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Figure 4: Total Historic Revenue vs. Historical Churn Rate Across Cohorts</w:t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19040475" cy="6800850"/>
            <wp:effectExtent b="0" l="0" r="0" t="0"/>
            <wp:docPr descr="Figure 4: Revenue vs Churn" id="4" name="image4.png"/>
            <a:graphic>
              <a:graphicData uri="http://schemas.openxmlformats.org/drawingml/2006/picture">
                <pic:pic>
                  <pic:nvPicPr>
                    <pic:cNvPr descr="Figure 4: Revenue vs Churn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680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  <w:rtl w:val="0"/>
        </w:rPr>
        <w:t xml:space="preserve">7. Edge Case Validation Results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900" w:right="900" w:firstLine="0"/>
        <w:rPr>
          <w:color w:val="37415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74151"/>
          <w:highlight w:val="white"/>
          <w:rtl w:val="0"/>
        </w:rPr>
        <w:t xml:space="preserve">To ensure system stability and operational trust, we stress-tested six non-trivial edge cases:</w:t>
      </w:r>
    </w:p>
    <w:tbl>
      <w:tblPr>
        <w:tblStyle w:val="Table3"/>
        <w:tblW w:w="7560.0" w:type="dxa"/>
        <w:jc w:val="left"/>
        <w:tblInd w:w="900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60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tblGridChange w:id="0">
          <w:tblGrid>
            <w:gridCol w:w="945"/>
            <w:gridCol w:w="945"/>
            <w:gridCol w:w="945"/>
            <w:gridCol w:w="945"/>
            <w:gridCol w:w="945"/>
            <w:gridCol w:w="945"/>
            <w:gridCol w:w="945"/>
            <w:gridCol w:w="9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Case ID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Scenario Name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Tenure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Contract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Tickets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Risk Score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Risk Tier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Operational Validation Insight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900" w:right="90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EDGE-01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Fresh Onboarding On-Track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Month-to-Month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62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92400e"/>
                <w:shd w:fill="fef3c7" w:val="clear"/>
              </w:rPr>
            </w:pPr>
            <w:r w:rsidDel="00000000" w:rsidR="00000000" w:rsidRPr="00000000">
              <w:rPr>
                <w:b w:val="1"/>
                <w:bCs w:val="1"/>
                <w:color w:val="92400e"/>
                <w:shd w:fill="fef3c7" w:val="clear"/>
                <w:rtl w:val="0"/>
              </w:rPr>
              <w:t xml:space="preserve">Medium Risk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Captures inherent structural vulnerability of M2M during onboarding without triggering false churn panic.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EDGE-02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Acute Onboarding Crisis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Month-to-Month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991b1b"/>
                <w:shd w:fill="fee2e2" w:val="clear"/>
              </w:rPr>
            </w:pPr>
            <w:r w:rsidDel="00000000" w:rsidR="00000000" w:rsidRPr="00000000">
              <w:rPr>
                <w:b w:val="1"/>
                <w:bCs w:val="1"/>
                <w:color w:val="991b1b"/>
                <w:shd w:fill="fee2e2" w:val="clear"/>
                <w:rtl w:val="0"/>
              </w:rPr>
              <w:t xml:space="preserve">High Risk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Support velocity override instantly flags critical Day-1 crisis for immediate CSM rescue intervention.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EDGE-03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Enterprise Friction Storm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36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Two Year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35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92400e"/>
                <w:shd w:fill="fef3c7" w:val="clear"/>
              </w:rPr>
            </w:pPr>
            <w:r w:rsidDel="00000000" w:rsidR="00000000" w:rsidRPr="00000000">
              <w:rPr>
                <w:b w:val="1"/>
                <w:bCs w:val="1"/>
                <w:color w:val="92400e"/>
                <w:shd w:fill="fef3c7" w:val="clear"/>
                <w:rtl w:val="0"/>
              </w:rPr>
              <w:t xml:space="preserve">Medium Risk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Two-year contract prevents immediate walkaway, but score triggers service escalation flag to protect renewal.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EDGE-04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Unlocked Veteran Inertia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36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Month-to-Month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40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92400e"/>
                <w:shd w:fill="fef3c7" w:val="clear"/>
              </w:rPr>
            </w:pPr>
            <w:r w:rsidDel="00000000" w:rsidR="00000000" w:rsidRPr="00000000">
              <w:rPr>
                <w:b w:val="1"/>
                <w:bCs w:val="1"/>
                <w:color w:val="92400e"/>
                <w:shd w:fill="fef3c7" w:val="clear"/>
                <w:rtl w:val="0"/>
              </w:rPr>
              <w:t xml:space="preserve">Medium Risk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Flags uncontracted long-term revenue vulnerability; prompts proactive annual plan discount incentive.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EDGE-05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Mid-Contract Friction Build-Up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One Year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49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92400e"/>
                <w:shd w:fill="fef3c7" w:val="clear"/>
              </w:rPr>
            </w:pPr>
            <w:r w:rsidDel="00000000" w:rsidR="00000000" w:rsidRPr="00000000">
              <w:rPr>
                <w:b w:val="1"/>
                <w:bCs w:val="1"/>
                <w:color w:val="92400e"/>
                <w:shd w:fill="fef3c7" w:val="clear"/>
                <w:rtl w:val="0"/>
              </w:rPr>
              <w:t xml:space="preserve">Medium Risk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Provides 90-day early warning before annual contract renewal window opens, allowing technical resolution.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EDGE-06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Boundary Zero / Missing Data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 mo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Unknown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43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92400e"/>
                <w:shd w:fill="fef3c7" w:val="clear"/>
              </w:rPr>
            </w:pPr>
            <w:r w:rsidDel="00000000" w:rsidR="00000000" w:rsidRPr="00000000">
              <w:rPr>
                <w:b w:val="1"/>
                <w:bCs w:val="1"/>
                <w:color w:val="92400e"/>
                <w:shd w:fill="fef3c7" w:val="clear"/>
                <w:rtl w:val="0"/>
              </w:rPr>
              <w:t xml:space="preserve">Medium Risk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Gracefully handles zero tenure and unknown parameters via defensive defaults without exceptions or NaN.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00" w:lineRule="auto"/>
        <w:ind w:left="900" w:right="9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8. Strategic Retention Playbooks (Portfolio Upgrade)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7560.0" w:type="dxa"/>
        <w:jc w:val="left"/>
        <w:tblInd w:w="900.0" w:type="dxa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600"/>
      </w:tblPr>
      <w:tblGrid>
        <w:gridCol w:w="2520"/>
        <w:gridCol w:w="2520"/>
        <w:gridCol w:w="2520"/>
        <w:tblGridChange w:id="0">
          <w:tblGrid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Target Segment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Economic Impact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8fafc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e293b"/>
                <w:shd w:fill="auto" w:val="clear"/>
              </w:rPr>
            </w:pPr>
            <w:r w:rsidDel="00000000" w:rsidR="00000000" w:rsidRPr="00000000">
              <w:rPr>
                <w:color w:val="1e293b"/>
                <w:shd w:fill="auto" w:val="clear"/>
                <w:rtl w:val="0"/>
              </w:rPr>
              <w:t xml:space="preserve">Playbook &amp; Action Plan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900" w:right="90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Enterprise Anchors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(High-Value Pillar)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$599.96 MRR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($7,199.52 ARR)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Executive Business Review (EBR) &amp; TAM Alignment:</w:t>
            </w:r>
            <w:r w:rsidDel="00000000" w:rsidR="00000000" w:rsidRPr="00000000">
              <w:rPr>
                <w:shd w:fill="auto" w:val="clear"/>
                <w:rtl w:val="0"/>
              </w:rPr>
              <w:t xml:space="preserve"> Assign a dedicated Technical Account Manager (TAM), institute bi-annual executive business reviews, and initiate customized roadmap co-design 6 months prior to multi-year renewal.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Committed Pro Growth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(High-Value Growth)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$159.98 MRR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($1,919.76 ARR)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90-Day Pre-Renewal Health Audit &amp; Upsell Pathway:</w:t>
            </w:r>
            <w:r w:rsidDel="00000000" w:rsidR="00000000" w:rsidRPr="00000000">
              <w:rPr>
                <w:shd w:fill="auto" w:val="clear"/>
                <w:rtl w:val="0"/>
              </w:rPr>
              <w:t xml:space="preserve"> Run telemetry health audits at Month 9, schedule proactive check-ins to demonstrate unused Pro features, and offer a 15% tier-upgrade incentive to Enterprise on a multi-year agreement.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High-Value Flight Risk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(Critical Rescue)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$159.98 MRR</w:t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($1,919.76 ARR)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24-Hour Tier-3 Engineering Resolution &amp; Annual Discount:</w:t>
            </w:r>
            <w:r w:rsidDel="00000000" w:rsidR="00000000" w:rsidRPr="00000000">
              <w:rPr>
                <w:shd w:fill="auto" w:val="clear"/>
                <w:rtl w:val="0"/>
              </w:rPr>
              <w:t xml:space="preserve"> Guarantee resolution of open support tickets within 24 hours via senior engineering, provide a 1-on-1 CSM consultation, and offer 20% off an annual contract conversion.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Early Onboarding Drop-offs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rtl w:val="0"/>
              </w:rPr>
              <w:t xml:space="preserve">(Volume Retention)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$199.96 MRR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($2,399.52 ARR)</w:t>
            </w:r>
          </w:p>
        </w:tc>
        <w:tc>
          <w:tcPr>
            <w:tcBorders>
              <w:top w:color="e5e7eb" w:space="0" w:sz="6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shd w:fill="ffffff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Interactive Onboarding Overhaul:</w:t>
            </w:r>
            <w:r w:rsidDel="00000000" w:rsidR="00000000" w:rsidRPr="00000000">
              <w:rPr>
                <w:shd w:fill="auto" w:val="clear"/>
                <w:rtl w:val="0"/>
              </w:rPr>
              <w:t xml:space="preserve"> Implement in-app interactive setup checklists, automated Day 3 and Day 7 health prompts, and context-sensitive help documentation to deflect setup tickets.</w:t>
            </w:r>
          </w:p>
        </w:tc>
      </w:tr>
    </w:tbl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540" w:lineRule="auto"/>
        <w:ind w:left="1740" w:right="1140" w:firstLine="0"/>
        <w:rPr>
          <w:b w:val="1"/>
          <w:bCs w:val="1"/>
          <w:shd w:fill="eff6ff" w:val="clear"/>
        </w:rPr>
      </w:pPr>
      <w:r w:rsidDel="00000000" w:rsidR="00000000" w:rsidRPr="00000000">
        <w:rPr>
          <w:b w:val="1"/>
          <w:bCs w:val="1"/>
          <w:shd w:fill="eff6ff" w:val="clear"/>
          <w:rtl w:val="0"/>
        </w:rPr>
        <w:t xml:space="preserve">Implementation Roadmap: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740" w:right="1140" w:hanging="360"/>
      </w:pPr>
      <w:r w:rsidDel="00000000" w:rsidR="00000000" w:rsidRPr="00000000">
        <w:rPr>
          <w:b w:val="1"/>
          <w:bCs w:val="1"/>
          <w:color w:val="374151"/>
          <w:shd w:fill="eff6ff" w:val="clear"/>
          <w:rtl w:val="0"/>
        </w:rPr>
        <w:t xml:space="preserve">Telemetry Integration:</w:t>
      </w:r>
      <w:r w:rsidDel="00000000" w:rsidR="00000000" w:rsidRPr="00000000">
        <w:rPr>
          <w:color w:val="374151"/>
          <w:shd w:fill="eff6ff" w:val="clear"/>
          <w:rtl w:val="0"/>
        </w:rPr>
        <w:t xml:space="preserve"> Ingest customer billing, contract, and support ticketing telemetry daily.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740" w:right="1140" w:hanging="360"/>
      </w:pPr>
      <w:r w:rsidDel="00000000" w:rsidR="00000000" w:rsidRPr="00000000">
        <w:rPr>
          <w:b w:val="1"/>
          <w:bCs w:val="1"/>
          <w:color w:val="374151"/>
          <w:shd w:fill="eff6ff" w:val="clear"/>
          <w:rtl w:val="0"/>
        </w:rPr>
        <w:t xml:space="preserve">Automated Scorecarding:</w:t>
      </w:r>
      <w:r w:rsidDel="00000000" w:rsidR="00000000" w:rsidRPr="00000000">
        <w:rPr>
          <w:color w:val="374151"/>
          <w:shd w:fill="eff6ff" w:val="clear"/>
          <w:rtl w:val="0"/>
        </w:rPr>
        <w:t xml:space="preserve"> Calculate sub-scores and route High-Risk accounts directly to Zendesk/Salesforce queues.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740" w:right="1140" w:hanging="360"/>
      </w:pPr>
      <w:r w:rsidDel="00000000" w:rsidR="00000000" w:rsidRPr="00000000">
        <w:rPr>
          <w:b w:val="1"/>
          <w:bCs w:val="1"/>
          <w:color w:val="374151"/>
          <w:shd w:fill="eff6ff" w:val="clear"/>
          <w:rtl w:val="0"/>
        </w:rPr>
        <w:t xml:space="preserve">Measure Lift:</w:t>
      </w:r>
      <w:r w:rsidDel="00000000" w:rsidR="00000000" w:rsidRPr="00000000">
        <w:rPr>
          <w:color w:val="374151"/>
          <w:shd w:fill="eff6ff" w:val="clear"/>
          <w:rtl w:val="0"/>
        </w:rPr>
        <w:t xml:space="preserve"> Pilot retention playbooks over a 90-day trial period, measuring net revenue retention (NRR) and churn reduction.</w:t>
      </w:r>
    </w:p>
    <w:sectPr>
      <w:pgSz w:h="15840" w:w="12240" w:orient="portrait"/>
      <w:pgMar w:bottom="600" w:top="6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5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f2937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  <w:ind w:left="0" w:right="0" w:firstLine="0"/>
    </w:pPr>
    <w:rPr>
      <w:b w:val="1"/>
      <w:bCs w:val="1"/>
      <w:i w:val="0"/>
      <w:iCs w:val="0"/>
      <w:color w:val="111827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0" w:lineRule="auto"/>
      <w:ind w:left="0" w:right="0" w:firstLine="0"/>
    </w:pPr>
    <w:rPr>
      <w:b w:val="1"/>
      <w:bCs w:val="1"/>
      <w:i w:val="0"/>
      <w:iCs w:val="0"/>
      <w:color w:val="1e3a8a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Rule="auto"/>
      <w:ind w:left="0" w:right="0" w:firstLine="0"/>
    </w:pPr>
    <w:rPr>
      <w:b w:val="1"/>
      <w:bCs w:val="1"/>
      <w:i w:val="0"/>
      <w:iCs w:val="0"/>
      <w:color w:val="374151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