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84.0000057220459" w:lineRule="auto"/>
        <w:rPr>
          <w:rFonts w:ascii="Arial" w:cs="Arial" w:eastAsia="Arial" w:hAnsi="Arial"/>
          <w:color w:val="1e3a8a"/>
        </w:rPr>
      </w:pPr>
      <w:r w:rsidDel="00000000" w:rsidR="00000000" w:rsidRPr="00000000">
        <w:rPr>
          <w:rFonts w:ascii="Arial" w:cs="Arial" w:eastAsia="Arial" w:hAnsi="Arial"/>
          <w:color w:val="1e3a8a"/>
          <w:rtl w:val="0"/>
        </w:rPr>
        <w:t xml:space="preserve">Executive Analytics Capstone: Customer Churn Diagnostics, Risk Architecture &amp; Revenue Strategy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>
          <w:rFonts w:ascii="Arial" w:cs="Arial" w:eastAsia="Arial" w:hAnsi="Arial"/>
          <w:color w:val="64748b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64748b"/>
          <w:sz w:val="18"/>
          <w:szCs w:val="18"/>
          <w:rtl w:val="0"/>
        </w:rPr>
        <w:t xml:space="preserve">Track:</w:t>
      </w:r>
      <w:r w:rsidDel="00000000" w:rsidR="00000000" w:rsidRPr="00000000">
        <w:rPr>
          <w:rFonts w:ascii="Arial" w:cs="Arial" w:eastAsia="Arial" w:hAnsi="Arial"/>
          <w:color w:val="64748b"/>
          <w:sz w:val="18"/>
          <w:szCs w:val="18"/>
          <w:rtl w:val="0"/>
        </w:rPr>
        <w:t xml:space="preserve"> Data Analytics Capstone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64748b"/>
          <w:sz w:val="18"/>
          <w:szCs w:val="18"/>
          <w:rtl w:val="0"/>
        </w:rPr>
        <w:t xml:space="preserve">Level:</w:t>
      </w:r>
      <w:r w:rsidDel="00000000" w:rsidR="00000000" w:rsidRPr="00000000">
        <w:rPr>
          <w:rFonts w:ascii="Arial" w:cs="Arial" w:eastAsia="Arial" w:hAnsi="Arial"/>
          <w:color w:val="64748b"/>
          <w:sz w:val="18"/>
          <w:szCs w:val="18"/>
          <w:rtl w:val="0"/>
        </w:rPr>
        <w:t xml:space="preserve"> Advanced Executive Presentation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64748b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color w:val="64748b"/>
          <w:sz w:val="18"/>
          <w:szCs w:val="18"/>
          <w:rtl w:val="0"/>
        </w:rPr>
        <w:t xml:space="preserve"> October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57220459" w:lineRule="auto"/>
        <w:rPr>
          <w:rFonts w:ascii="Arial" w:cs="Arial" w:eastAsia="Arial" w:hAnsi="Arial"/>
          <w:color w:val="64748b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4748b"/>
          <w:sz w:val="18"/>
          <w:szCs w:val="18"/>
          <w:rtl w:val="0"/>
        </w:rPr>
        <w:t xml:space="preserve">Audience:</w:t>
      </w:r>
      <w:r w:rsidDel="00000000" w:rsidR="00000000" w:rsidRPr="00000000">
        <w:rPr>
          <w:rFonts w:ascii="Arial" w:cs="Arial" w:eastAsia="Arial" w:hAnsi="Arial"/>
          <w:color w:val="64748b"/>
          <w:sz w:val="18"/>
          <w:szCs w:val="18"/>
          <w:rtl w:val="0"/>
        </w:rPr>
        <w:t xml:space="preserve"> Executive Leadership, Chief Commercial Officer &amp; VP of Customer Success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="384.0000057220459" w:lineRule="auto"/>
        <w:ind w:left="240" w:right="240" w:firstLine="0"/>
        <w:rPr>
          <w:rFonts w:ascii="Arial" w:cs="Arial" w:eastAsia="Arial" w:hAnsi="Arial"/>
          <w:color w:val="64748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84.0000057220459" w:lineRule="auto"/>
        <w:ind w:left="240" w:right="240" w:firstLine="0"/>
        <w:rPr>
          <w:rFonts w:ascii="Arial" w:cs="Arial" w:eastAsia="Arial" w:hAnsi="Arial"/>
          <w:color w:val="1e3a8a"/>
          <w:shd w:fill="f8fafc" w:val="clear"/>
        </w:rPr>
      </w:pPr>
      <w:r w:rsidDel="00000000" w:rsidR="00000000" w:rsidRPr="00000000">
        <w:rPr>
          <w:rFonts w:ascii="Arial" w:cs="Arial" w:eastAsia="Arial" w:hAnsi="Arial"/>
          <w:color w:val="1e3a8a"/>
          <w:shd w:fill="f8fafc" w:val="clear"/>
          <w:rtl w:val="0"/>
        </w:rPr>
        <w:t xml:space="preserve">Centralized Google Drive Folder Hub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240" w:right="240" w:firstLine="0"/>
        <w:rPr>
          <w:rFonts w:ascii="Arial" w:cs="Arial" w:eastAsia="Arial" w:hAnsi="Arial"/>
          <w:color w:val="1e293b"/>
          <w:shd w:fill="f8fafc" w:val="clear"/>
        </w:rPr>
      </w:pPr>
      <w:r w:rsidDel="00000000" w:rsidR="00000000" w:rsidRPr="00000000">
        <w:rPr>
          <w:rFonts w:ascii="Arial" w:cs="Arial" w:eastAsia="Arial" w:hAnsi="Arial"/>
          <w:color w:val="1e293b"/>
          <w:shd w:fill="f8fafc" w:val="clear"/>
          <w:rtl w:val="0"/>
        </w:rPr>
        <w:t xml:space="preserve">All capstone deliverables, presentations, interactive dashboards, and video recordings are stored together in this folder: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240" w:right="240" w:firstLine="0"/>
        <w:rPr>
          <w:rFonts w:ascii="Arial" w:cs="Arial" w:eastAsia="Arial" w:hAnsi="Arial"/>
          <w:b w:val="1"/>
          <w:bCs w:val="1"/>
          <w:color w:val="2563eb"/>
          <w:sz w:val="22"/>
          <w:szCs w:val="22"/>
          <w:u w:val="single"/>
          <w:shd w:fill="f8fafc" w:val="clear"/>
        </w:rPr>
      </w:pP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2563eb"/>
            <w:sz w:val="22"/>
            <w:szCs w:val="22"/>
            <w:u w:val="single"/>
            <w:shd w:fill="f8fafc" w:val="clear"/>
            <w:rtl w:val="0"/>
          </w:rPr>
          <w:t xml:space="preserve">📁 Open Task 4 - Executive Analytics Capstone Folder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84.0000057220459" w:lineRule="auto"/>
        <w:rPr>
          <w:rFonts w:ascii="Arial" w:cs="Arial" w:eastAsia="Arial" w:hAnsi="Arial"/>
          <w:color w:val="1e293b"/>
        </w:rPr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Deliverables Directory</w:t>
      </w:r>
    </w:p>
    <w:tbl>
      <w:tblPr>
        <w:tblStyle w:val="Table1"/>
        <w:tblW w:w="9360.0" w:type="dxa"/>
        <w:jc w:val="left"/>
        <w:tblBorders>
          <w:top w:color="cbd5e1" w:space="0" w:sz="8" w:val="single"/>
          <w:left w:color="cbd5e1" w:space="0" w:sz="8" w:val="single"/>
          <w:bottom w:color="cbd5e1" w:space="0" w:sz="8" w:val="single"/>
          <w:right w:color="cbd5e1" w:space="0" w:sz="8" w:val="single"/>
          <w:insideH w:color="cbd5e1" w:space="0" w:sz="8" w:val="single"/>
          <w:insideV w:color="cbd5e1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84.0000057220459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Deliverable Asset</w:t>
            </w:r>
          </w:p>
        </w:tc>
        <w:tc>
          <w:tcPr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84.0000057220459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Format</w:t>
            </w:r>
          </w:p>
        </w:tc>
        <w:tc>
          <w:tcPr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84.0000057220459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Scope &amp; Purpose</w:t>
            </w:r>
          </w:p>
        </w:tc>
        <w:tc>
          <w:tcPr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84.0000057220459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Direct Access 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84.0000057220459" w:lineRule="auto"/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Executive Analytics Capstone Report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84.00000572204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PDF (7 Pages)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84.00000572204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Publication-grade executive document with full empirical findings, charts, scoring architecture, and 30-60-90 roadmap.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84.0000057220459" w:lineRule="auto"/>
              <w:rPr>
                <w:rFonts w:ascii="Arial" w:cs="Arial" w:eastAsia="Arial" w:hAnsi="Arial"/>
                <w:color w:val="0000ee"/>
                <w:sz w:val="18"/>
                <w:szCs w:val="18"/>
                <w:u w:val="single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0000ee"/>
                  <w:sz w:val="18"/>
                  <w:szCs w:val="18"/>
                  <w:u w:val="single"/>
                  <w:rtl w:val="0"/>
                </w:rPr>
                <w:t xml:space="preserve">Open PDF Report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84.0000057220459" w:lineRule="auto"/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Executive Presentation Deck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84.00000572204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PowerPoint (.pptx)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84.00000572204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10-slide widescreen presentation deck designed for leadership review and commercial decisions.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84.0000057220459" w:lineRule="auto"/>
              <w:rPr>
                <w:rFonts w:ascii="Arial" w:cs="Arial" w:eastAsia="Arial" w:hAnsi="Arial"/>
                <w:color w:val="0000ee"/>
                <w:sz w:val="18"/>
                <w:szCs w:val="18"/>
                <w:u w:val="single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0000ee"/>
                  <w:sz w:val="18"/>
                  <w:szCs w:val="18"/>
                  <w:u w:val="single"/>
                  <w:rtl w:val="0"/>
                </w:rPr>
                <w:t xml:space="preserve">Open PPTX Deck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84.0000057220459" w:lineRule="auto"/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Presentation Recording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84.00000572204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MP4 Video (180s)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84.00000572204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3-minute executive presentation video recording with timed slide transitions, on-screen subtitles, and audio chimes.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84.0000057220459" w:lineRule="auto"/>
              <w:rPr>
                <w:rFonts w:ascii="Arial" w:cs="Arial" w:eastAsia="Arial" w:hAnsi="Arial"/>
                <w:color w:val="0000ee"/>
                <w:sz w:val="18"/>
                <w:szCs w:val="18"/>
                <w:u w:val="single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0000ee"/>
                  <w:sz w:val="18"/>
                  <w:szCs w:val="18"/>
                  <w:u w:val="single"/>
                  <w:rtl w:val="0"/>
                </w:rPr>
                <w:t xml:space="preserve">Watch Video Recording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84.0000057220459" w:lineRule="auto"/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Recording Script &amp; Delivery Guide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84.00000572204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Word (.docx)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84.00000572204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Word-for-word 180-second spoken transcript, visual timing cues (0:00 to 3:00), nontechnical delivery rules, and Q&amp;A defense.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84.0000057220459" w:lineRule="auto"/>
              <w:rPr>
                <w:rFonts w:ascii="Arial" w:cs="Arial" w:eastAsia="Arial" w:hAnsi="Arial"/>
                <w:color w:val="0000ee"/>
                <w:sz w:val="18"/>
                <w:szCs w:val="18"/>
                <w:u w:val="single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0000ee"/>
                  <w:sz w:val="18"/>
                  <w:szCs w:val="18"/>
                  <w:u w:val="single"/>
                  <w:rtl w:val="0"/>
                </w:rPr>
                <w:t xml:space="preserve">Open Delivery Script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84.0000057220459" w:lineRule="auto"/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Customer Segments &amp; Churn Risk Dashboard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84.00000572204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Google Sheet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84.00000572204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Interactive multi-tab workbook with Customer Scoring database, Segment Summary, and edge-case validation.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84.0000057220459" w:lineRule="auto"/>
              <w:rPr>
                <w:rFonts w:ascii="Arial" w:cs="Arial" w:eastAsia="Arial" w:hAnsi="Arial"/>
                <w:color w:val="0000ee"/>
                <w:sz w:val="18"/>
                <w:szCs w:val="18"/>
                <w:u w:val="single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0000ee"/>
                  <w:sz w:val="18"/>
                  <w:szCs w:val="18"/>
                  <w:u w:val="single"/>
                  <w:rtl w:val="0"/>
                </w:rPr>
                <w:t xml:space="preserve">Open Google Sheet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>
          <w:rFonts w:ascii="Arial" w:cs="Arial" w:eastAsia="Arial" w:hAnsi="Arial"/>
          <w:color w:val="1e293b"/>
        </w:rPr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Executive Summary &amp; Problem Statement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>
          <w:rFonts w:ascii="Arial" w:cs="Arial" w:eastAsia="Arial" w:hAnsi="Arial"/>
          <w:color w:val="1e293b"/>
        </w:rPr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Customer retention is the primary determinant of long-term unit economics and enterprise valuation in subscription-based recurring revenue businesses. Across our 15-account audited portfolio, we are experiencing an annualized revenue loss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rtl w:val="0"/>
        </w:rPr>
        <w:t xml:space="preserve">$4,919.16</w:t>
      </w: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 (representing 32.3% of total revenue capacity).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84.0000057220459" w:lineRule="auto"/>
        <w:rPr>
          <w:rFonts w:ascii="Arial" w:cs="Arial" w:eastAsia="Arial" w:hAnsi="Arial"/>
          <w:color w:val="1e293b"/>
        </w:rPr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Historically, frontline teams have operated reactively, discovering dissatisfaction only upon receiving cancellation notices or experiencing billing lapses. Our empirical diagnosis reveals that churn is not random: 100% of historical churn is concentrated in Month-to-Month contracts, amplified by acute technical support friction during early onboarding. To transition from reactive exit firefighting to proactive intervention, we designed and validated an explainable 0–100 point Churn-Risk Scoring Architecture.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84.0000057220459" w:lineRule="auto"/>
        <w:rPr>
          <w:rFonts w:ascii="Arial" w:cs="Arial" w:eastAsia="Arial" w:hAnsi="Arial"/>
          <w:color w:val="1e293b"/>
        </w:rPr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The Five Material Business Insights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rtl w:val="0"/>
        </w:rPr>
        <w:t xml:space="preserve">Contract Commitment Architecture is a Binary Churn Determinant:</w:t>
      </w: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 Exactly 100% of historical churners (7 of 7 accounts) operated on Month-to-Month contracts. Conversely, accounts on One-Year (4/4) and Two-Year (4/4) contracts experienced 0% churn. Month-to-Month contracts carry zero switching friction, allowing transient onboarding friction to cause immediate cancellation.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e293b"/>
          <w:rtl w:val="0"/>
        </w:rPr>
        <w:t xml:space="preserve">Business Decision: Phase out standalone Month-to-Month contracts for mid-market Pro and Enterprise tiers; mandate quarterly or annual commitments with onboarding value guarantees.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rtl w:val="0"/>
        </w:rPr>
        <w:t xml:space="preserve">Support Ticket Velocity Serves as an Acute Leading Indicator:</w:t>
      </w: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 Retained accounts averaged 1.0 support ticket (range: 0–2), while churned accounts averaged 4.29 tickets (range: 3–6). Early churners logged 1.0 to 2.5 tickets per month of tenure. When tickets reach $\ge 3$ within 60 days, customer frustration hardens into exit.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e293b"/>
          <w:rtl w:val="0"/>
        </w:rPr>
        <w:t xml:space="preserve">Business Decision: Deploy an automated Zendesk Ticket Velocity Trigger (flagging $\ge 3$ tickets in 60 days) to mandate 24-hour CSM and senior engineering intervention.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rtl w:val="0"/>
        </w:rPr>
        <w:t xml:space="preserve">High-Value Revenue Leakage in the Mid-Market Pro Tier:</w:t>
      </w: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 The Pro tier ($79.99/mo) has an acute 50% churn rate (2 of 4 accounts lost), forfeiting $1,919.76 in ARR. Pro users face an operational "coverage gap": they lack dedicated Enterprise TAM coverage, yet have workflows too complex for self-serve Basic onboarding.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e293b"/>
          <w:rtl w:val="0"/>
        </w:rPr>
        <w:t xml:space="preserve">Business Decision: Deploy a dedicated Pro Onboarding Flight and offer a 15% annual contract transition discount upon ticket resolution.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rtl w:val="0"/>
        </w:rPr>
        <w:t xml:space="preserve">Enterprise Lock-in Anchors Revenue but Poses Concentration Risk:</w:t>
      </w: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 Enterprise accounts generate 73.7% of cumulative historical revenue ($23,098.46 of $31,327.18) with 0.0% churn on Two-Year agreements. However, relying on 4 accounts creates extreme concentration: losing even one Enterprise account loses $1,799.88/yr in ARR.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e293b"/>
          <w:rtl w:val="0"/>
        </w:rPr>
        <w:t xml:space="preserve">Business Decision: Formalize Quarterly Executive Business Reviews (EBRs) and commence contract renewal discussions at least 6 months prior to two-year expiry.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rtl w:val="0"/>
        </w:rPr>
        <w:t xml:space="preserve">Early Onboarding Drop-offs &amp; Transactional Payment Friction:</w:t>
      </w: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 57.1% of all churn (4 of 7 accounts) occurred in the first 6 months (average tenure 3.8 months, 5.0 tickets), and manual payment methods experienced heavy attrition (Debit Card: 100% churn, UPI: 75% churn vs 0% Bank Transfer).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e293b"/>
          <w:rtl w:val="0"/>
        </w:rPr>
        <w:t xml:space="preserve">Business Decision: Deploy an interactive 14-day in-app onboarding checklist and offer a 5% credit for automated ACH billing setup.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>
          <w:rFonts w:ascii="Arial" w:cs="Arial" w:eastAsia="Arial" w:hAnsi="Arial"/>
          <w:color w:val="1e293b"/>
        </w:rPr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Quantified Impact Ranges (12-Month Operating Horizon)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rtl w:val="0"/>
        </w:rPr>
        <w:t xml:space="preserve">Conservative Scenario (25% Churn Reduction):</w:t>
      </w: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 Preserves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rtl w:val="0"/>
        </w:rPr>
        <w:t xml:space="preserve">+$1,230 ARR</w:t>
      </w: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 ($102.50/mo) by saving 1 Pro or 2 Basic accounts via automated support alerts.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rtl w:val="0"/>
        </w:rPr>
        <w:t xml:space="preserve">Expected Scenario (50% Churn Reduction):</w:t>
      </w: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 Preserves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rtl w:val="0"/>
        </w:rPr>
        <w:t xml:space="preserve">+$2,460 ARR</w:t>
      </w: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 ($205.00/mo) by rescuing 1 Pro account ($960 ARR) and 2 early Basic accounts ($1,200 ARR) via CSM outreach and annual discounts.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rtl w:val="0"/>
        </w:rPr>
        <w:t xml:space="preserve">Optimistic Scenario (75% Churn Reduction + Contract Expansion):</w:t>
      </w: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 Preserves &amp; expands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rtl w:val="0"/>
        </w:rPr>
        <w:t xml:space="preserve">+$3,960 ARR</w:t>
      </w: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 ($330.00/mo) through mandatory annual commitments and migrating stable Basic users to Pro tiers.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rtl w:val="0"/>
        </w:rPr>
        <w:t xml:space="preserve">Break-Even Analysis:</w:t>
      </w: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 With an average lifetime value of $5,774 for Enterprise and $1,220 for Pro, preventing just a single mid-market churn event covers the annualized operating cost of automated ticket alerting infrastructure.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>
          <w:rFonts w:ascii="Arial" w:cs="Arial" w:eastAsia="Arial" w:hAnsi="Arial"/>
          <w:color w:val="1e293b"/>
        </w:rPr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Assumptions &amp; Limitations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rtl w:val="0"/>
        </w:rPr>
        <w:t xml:space="preserve">Assumptions:</w:t>
      </w: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 The 15-account dataset represents broader operational distributions; cumulative support tickets and contract commitment lengths serve as reliable proxies for user friction and switching barriers; accounts flagged in the Medium-Risk band are receptive to proactive outreach.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rtl w:val="0"/>
        </w:rPr>
        <w:t xml:space="preserve">Limitations:</w:t>
      </w: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 Small empirical cohort (N=15) limits statistical modeling for complex non-linear multivariate ML; lack of direct product telemetry (DAU/MAU, feature usage logs, NPS); lack of qualitative exit interview records.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>
          <w:rFonts w:ascii="Arial" w:cs="Arial" w:eastAsia="Arial" w:hAnsi="Arial"/>
          <w:color w:val="1e293b"/>
        </w:rPr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Strategic 30–60–90 Day Roadmap &amp; Governance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rtl w:val="0"/>
        </w:rPr>
        <w:t xml:space="preserve">Phase 1: Days 1–30 (Immediate Triage):</w:t>
      </w: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 Deploy Support Velocity Alarm in Zendesk; conduct emergency 1-on-1 CSM rescue sessions for active Pro accounts; provide senior engineering resolution for open tickets.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rtl w:val="0"/>
        </w:rPr>
        <w:t xml:space="preserve">Phase 2: Days 31–60 (Structural Packaging Reform):</w:t>
      </w: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 Phase out standalone Month-to-Month contracts for the Pro tier; roll out a guided 14-day in-app onboarding checklist; offer a 5% rebate for automated ACH/auto-pay billing.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rtl w:val="0"/>
        </w:rPr>
        <w:t xml:space="preserve">Phase 3: Days 61–90 (Enterprise Defense &amp; Telemetry Governance):</w:t>
      </w: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 Formalize Quarterly Executive Business Reviews (EBRs) for Enterprise clients; initiate renewal negotiations 6 months ahead of contract expiration; automate weekly risk scoring recalibration against core KPIs (Net Revenue Retention target $\ge 110\%$).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d/1X4A6sU9YSCfQPPsFXgyAo1AcngHTkHX20LozYKiL1A4/edit" TargetMode="External"/><Relationship Id="rId10" Type="http://schemas.openxmlformats.org/officeDocument/2006/relationships/hyperlink" Target="https://drive.google.com/file/d/1areYCPw6JYlIR0jIVjjeu4x5bxDHOkof/view?usp=drivesdk" TargetMode="External"/><Relationship Id="rId9" Type="http://schemas.openxmlformats.org/officeDocument/2006/relationships/hyperlink" Target="https://drive.google.com/file/d/1YQqhtGbbhucTADZFkhaTaDecCYf5fG7z/view?usp=drivesd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fR6RgiOkcWM2PVHbdt9USKzKOKJpiVtA" TargetMode="External"/><Relationship Id="rId7" Type="http://schemas.openxmlformats.org/officeDocument/2006/relationships/hyperlink" Target="https://drive.google.com/file/d/1VF_i3KhbU__k_TTV_6ZA61xlApSTdq9z/view?usp=drivesdk" TargetMode="External"/><Relationship Id="rId8" Type="http://schemas.openxmlformats.org/officeDocument/2006/relationships/hyperlink" Target="https://drive.google.com/file/d/1gpvVe_XOXOX75rFBWzTkyGSViHDLlpiB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