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DB63F" w14:textId="56C45857" w:rsidR="002D2C68" w:rsidRDefault="00237400">
      <w:pPr>
        <w:spacing w:after="80"/>
      </w:pPr>
      <w:r>
        <w:rPr>
          <w:b/>
          <w:color w:val="1E3A8A"/>
          <w:sz w:val="44"/>
        </w:rPr>
        <w:t>Executive Presentation Recording Script &amp; Delivery Guide</w:t>
      </w:r>
    </w:p>
    <w:p w14:paraId="06756894" w14:textId="77777777" w:rsidR="002D2C68" w:rsidRDefault="00237400">
      <w:pPr>
        <w:spacing w:after="280"/>
      </w:pPr>
      <w:r>
        <w:rPr>
          <w:b/>
          <w:color w:val="0F766E"/>
          <w:sz w:val="26"/>
        </w:rPr>
        <w:t>Capstone Deliverable: Word-for-Word 3-Minute Executive Pitch, Slide Synchronization &amp; Q&amp;A Defense</w:t>
      </w:r>
    </w:p>
    <w:p w14:paraId="6139B980" w14:textId="77777777" w:rsidR="002D2C68" w:rsidRDefault="00237400">
      <w:pPr>
        <w:spacing w:after="320"/>
      </w:pPr>
      <w:r>
        <w:rPr>
          <w:b/>
        </w:rPr>
        <w:t xml:space="preserve">Target Audience: </w:t>
      </w:r>
      <w:r>
        <w:t>Chief Commercial Officer, VP of Customer Success &amp; Executive Leadership</w:t>
      </w:r>
      <w:r>
        <w:br/>
      </w:r>
      <w:r>
        <w:rPr>
          <w:b/>
        </w:rPr>
        <w:t xml:space="preserve">Total Target Duration: </w:t>
      </w:r>
      <w:r>
        <w:t>Exactly 3 Minutes (180 Seconds, ~140 words/min pacing)</w:t>
      </w:r>
      <w:r>
        <w:br/>
      </w:r>
      <w:r>
        <w:rPr>
          <w:b/>
        </w:rPr>
        <w:t xml:space="preserve">Author: </w:t>
      </w:r>
      <w:r>
        <w:t>Lead Revenue Operations &amp; Customer Analytics Team | Date: October 2026</w:t>
      </w:r>
    </w:p>
    <w:p w14:paraId="7E8E4521" w14:textId="77777777" w:rsidR="002D2C68" w:rsidRDefault="00237400">
      <w:pPr>
        <w:keepNext/>
        <w:spacing w:before="280" w:after="80"/>
      </w:pPr>
      <w:r>
        <w:rPr>
          <w:b/>
          <w:color w:val="1E3A8A"/>
          <w:sz w:val="30"/>
        </w:rPr>
        <w:t>1. Executive Delivery &amp; Nontechnical Communication Rules</w:t>
      </w:r>
    </w:p>
    <w:p w14:paraId="32FEF6D4" w14:textId="77777777" w:rsidR="002D2C68" w:rsidRDefault="00237400">
      <w:pPr>
        <w:spacing w:after="120"/>
      </w:pPr>
      <w:r>
        <w:rPr>
          <w:b/>
        </w:rPr>
        <w:t xml:space="preserve">• Objective Tone Over Sales Hype: </w:t>
      </w:r>
      <w:r>
        <w:t>Do not claim 'flawless accuracy' or '100% predictive certainty.' Frame the 0–100 scoring model as an operational triage filter designed to help frontline managers prioritize accounts before churn crystallizes.</w:t>
      </w:r>
    </w:p>
    <w:p w14:paraId="7A4FF5F5" w14:textId="77777777" w:rsidR="002D2C68" w:rsidRDefault="00237400">
      <w:pPr>
        <w:spacing w:after="120"/>
      </w:pPr>
      <w:r>
        <w:rPr>
          <w:b/>
        </w:rPr>
        <w:t xml:space="preserve">• Nontechnical Translation: </w:t>
      </w:r>
      <w:r>
        <w:t>Replace statistical terminology with operational reality: instead of 'perfect empirical separation on training data,' say 'every past customer who cancelled landed in our high-risk alert tier, while every retained customer stayed in the safe tier.'</w:t>
      </w:r>
    </w:p>
    <w:p w14:paraId="689BBB20" w14:textId="77777777" w:rsidR="002D2C68" w:rsidRDefault="00237400">
      <w:pPr>
        <w:spacing w:after="120"/>
      </w:pPr>
      <w:r>
        <w:rPr>
          <w:b/>
        </w:rPr>
        <w:t xml:space="preserve">• Action-Oriented Transition: </w:t>
      </w:r>
      <w:r>
        <w:t>Move quickly from diagnostic problems to concrete commercial decisions. The executive team wants to know: Where is revenue leaking, why is it leaking, what does it cost, and what specific action stops it?</w:t>
      </w:r>
    </w:p>
    <w:p w14:paraId="3966B608" w14:textId="77777777" w:rsidR="002D2C68" w:rsidRDefault="00237400">
      <w:pPr>
        <w:keepNext/>
        <w:spacing w:before="320" w:after="80"/>
      </w:pPr>
      <w:r>
        <w:rPr>
          <w:b/>
          <w:color w:val="1E3A8A"/>
          <w:sz w:val="30"/>
        </w:rPr>
        <w:t>2. Timestamped 3-Minute Word-for-Word Spoken Script</w:t>
      </w:r>
    </w:p>
    <w:p w14:paraId="346230F7" w14:textId="77777777" w:rsidR="002D2C68" w:rsidRDefault="00237400">
      <w:pPr>
        <w:keepNext/>
        <w:spacing w:before="240" w:after="40"/>
      </w:pPr>
      <w:r>
        <w:rPr>
          <w:b/>
          <w:color w:val="1E3A8A"/>
          <w:sz w:val="26"/>
        </w:rPr>
        <w:t>Segment 1: Hook &amp; Problem Framing [0:00 – 0:35]</w:t>
      </w:r>
    </w:p>
    <w:p w14:paraId="35FD4853" w14:textId="77777777" w:rsidR="002D2C68" w:rsidRDefault="00237400">
      <w:pPr>
        <w:keepNext/>
        <w:spacing w:after="80"/>
      </w:pPr>
      <w:r>
        <w:rPr>
          <w:i/>
          <w:color w:val="0F766E"/>
          <w:sz w:val="20"/>
        </w:rPr>
        <w:t>Synchronized Visual: Slide 1 &amp; Slide 2 (Title &amp; Executive Baseline)</w:t>
      </w:r>
    </w:p>
    <w:p w14:paraId="50CC74C3" w14:textId="77777777" w:rsidR="002D2C68" w:rsidRDefault="00237400">
      <w:pPr>
        <w:spacing w:after="160"/>
      </w:pPr>
      <w:r>
        <w:t>Good morning, executive team. Across our customer portfolio, we are currently experiencing an annual recurring revenue loss of four thousand nine hundred and nineteen dollars. That represents thirty-two percent of our total revenue capacity.</w:t>
      </w:r>
      <w:r>
        <w:br/>
      </w:r>
      <w:r>
        <w:br/>
      </w:r>
      <w:r>
        <w:t>Historically, our retention process has operated reactively: we only discover a customer is unhappy when they issue a cancellation notice or let their billing lapse. Today, we are presenting an empirical diagnosis of why this revenue is leaking, an explainable scoring system that identifies at-risk accounts thirty to sixty days in advance, and a clear commercial plan to preserve up to four thousand dollars in annual recurring revenue.</w:t>
      </w:r>
    </w:p>
    <w:p w14:paraId="4EA84A29" w14:textId="77777777" w:rsidR="002D2C68" w:rsidRDefault="00237400">
      <w:pPr>
        <w:keepNext/>
        <w:spacing w:before="240" w:after="40"/>
      </w:pPr>
      <w:r>
        <w:rPr>
          <w:b/>
          <w:color w:val="1E3A8A"/>
          <w:sz w:val="26"/>
        </w:rPr>
        <w:lastRenderedPageBreak/>
        <w:t>Segment 2: Diagnostic Findings &amp; The Five Material Insights [0:35 – 1:20]</w:t>
      </w:r>
    </w:p>
    <w:p w14:paraId="2931E143" w14:textId="77777777" w:rsidR="002D2C68" w:rsidRDefault="00237400">
      <w:pPr>
        <w:keepNext/>
        <w:spacing w:after="80"/>
      </w:pPr>
      <w:r>
        <w:rPr>
          <w:i/>
          <w:color w:val="0F766E"/>
          <w:sz w:val="20"/>
        </w:rPr>
        <w:t>Synchronized Visual: Slides 3 to 6 (Insights 1 through 5: Contracts, Support Velocity, Pro Tier, Enterprise Anchor)</w:t>
      </w:r>
    </w:p>
    <w:p w14:paraId="799B7D0F" w14:textId="77777777" w:rsidR="002D2C68" w:rsidRDefault="00237400">
      <w:pPr>
        <w:spacing w:after="160"/>
      </w:pPr>
      <w:r>
        <w:t>Our analysis revealed five material insights that directly reshape how we package and support our products.</w:t>
      </w:r>
      <w:r>
        <w:br/>
      </w:r>
      <w:r>
        <w:br/>
      </w:r>
      <w:r>
        <w:t>First, contract structure is a binary driver of retention: one hundred percent of historical churn occurred on month-to-month contracts. In contrast, accounts on annual or two-year commitments had zero churn. Month-to-month plans eliminate switching barriers, allowing transient onboarding friction to turn into instant departures.</w:t>
      </w:r>
      <w:r>
        <w:br/>
      </w:r>
      <w:r>
        <w:br/>
      </w:r>
      <w:r>
        <w:t>Second, support ticket velocity is our primary leading friction indicator. Retained accounts average just one support ticket, while churned accounts averaged over four tickets. More critically, early churners submitted one to two-and-a-half tickets per month of tenure. When an account submits three or more tickets in sixty days, dissatisfaction hardens into exit.</w:t>
      </w:r>
      <w:r>
        <w:br/>
      </w:r>
      <w:r>
        <w:br/>
      </w:r>
      <w:r>
        <w:t>Third, our high-value revenue leakage is concentrated in our mid-market Pro tier at eighty dollars a month. We lost fifty percent of our Pro customers—nearly two thousand dollars in annual revenue—because they fall into an operational coverage gap: they lack dedicated enterprise account managers, but have complex technical setups.</w:t>
      </w:r>
      <w:r>
        <w:br/>
      </w:r>
      <w:r>
        <w:br/>
      </w:r>
      <w:r>
        <w:t>Finally, while our Enterprise tier forms a solid foundation—generating seventy-four percent of cumulative revenue on two-year agreements—it also represents significant portfolio concentration. A single enterprise departure erodes eighteen hundred dollars in ARR. Meanwhile, fifty-seven percent of all churn occurs in the first six months, compounded by payment failure friction on debit cards and ad-hoc UPI billing.</w:t>
      </w:r>
    </w:p>
    <w:p w14:paraId="5D19B1B7" w14:textId="77777777" w:rsidR="002D2C68" w:rsidRDefault="00237400">
      <w:pPr>
        <w:keepNext/>
        <w:spacing w:before="240" w:after="40"/>
      </w:pPr>
      <w:r>
        <w:rPr>
          <w:b/>
          <w:color w:val="1E3A8A"/>
          <w:sz w:val="26"/>
        </w:rPr>
        <w:t>Segment 3: Explainable Risk Scoring &amp; Triage Buffer [1:20 – 1:55]</w:t>
      </w:r>
    </w:p>
    <w:p w14:paraId="3DC3B0B1" w14:textId="77777777" w:rsidR="002D2C68" w:rsidRDefault="00237400">
      <w:pPr>
        <w:keepNext/>
        <w:spacing w:after="80"/>
      </w:pPr>
      <w:r>
        <w:rPr>
          <w:i/>
          <w:color w:val="0F766E"/>
          <w:sz w:val="20"/>
        </w:rPr>
        <w:t>Synchronized Visual: Slide 7 (0–100 Point Scoring Engine &amp; Separation)</w:t>
      </w:r>
    </w:p>
    <w:p w14:paraId="175E4FC5" w14:textId="77777777" w:rsidR="002D2C68" w:rsidRDefault="00237400">
      <w:pPr>
        <w:spacing w:after="160"/>
      </w:pPr>
      <w:r>
        <w:t>To solve this, we avoided black-box machine learning and built an explainable, zero-to-one-hundred point churn risk scoring engine.</w:t>
      </w:r>
      <w:r>
        <w:br/>
      </w:r>
      <w:r>
        <w:br/>
        <w:t>The model assigns points across four transparent dimensions: contract commitment up to forty points, support friction up to thirty-five points, tenure lifecycle up to twenty points, and payment reliability up to five points.</w:t>
      </w:r>
      <w:r>
        <w:br/>
      </w:r>
      <w:r>
        <w:br/>
      </w:r>
      <w:r>
        <w:t>In validation against our customer records, the model achieved complete empirical separation: all historical churners scored above seventy-five in the High-Risk tier, while all retained accounts scored under thirty-five in the Low-Risk tier. Crucially, the model creates an operational thirty-four point Medium-Risk buffer between scores thirty-five and sixty-four. This gives our Customer Success team an early-warning intervention window to resolve technical friction before a customer reaches the point of can</w:t>
      </w:r>
      <w:r>
        <w:t>cellation.</w:t>
      </w:r>
    </w:p>
    <w:p w14:paraId="1826E766" w14:textId="77777777" w:rsidR="002D2C68" w:rsidRDefault="00237400">
      <w:pPr>
        <w:keepNext/>
        <w:spacing w:before="240" w:after="40"/>
      </w:pPr>
      <w:r>
        <w:rPr>
          <w:b/>
          <w:color w:val="1E3A8A"/>
          <w:sz w:val="26"/>
        </w:rPr>
        <w:lastRenderedPageBreak/>
        <w:t>Segment 4: Quantified Financial Scenarios &amp; ROI Break-Even [1:55 – 2:30]</w:t>
      </w:r>
    </w:p>
    <w:p w14:paraId="2787FBB0" w14:textId="77777777" w:rsidR="002D2C68" w:rsidRDefault="00237400">
      <w:pPr>
        <w:keepNext/>
        <w:spacing w:after="80"/>
      </w:pPr>
      <w:r>
        <w:rPr>
          <w:i/>
          <w:color w:val="0F766E"/>
          <w:sz w:val="20"/>
        </w:rPr>
        <w:t>Synchronized Visual: Slide 8 (12-Month Financial Scenarios)</w:t>
      </w:r>
    </w:p>
    <w:p w14:paraId="26CF5B4B" w14:textId="77777777" w:rsidR="002D2C68" w:rsidRDefault="00237400">
      <w:pPr>
        <w:spacing w:after="160"/>
      </w:pPr>
      <w:r>
        <w:t>We modeled our financial return across three operational scenarios over the next twelve months.</w:t>
      </w:r>
      <w:r>
        <w:br/>
      </w:r>
      <w:r>
        <w:br/>
      </w:r>
      <w:r>
        <w:t>In our conservative scenario, reducing month-to-month churn by just twenty-five percent preserves twelve hundred and thirty dollars in annual recurring revenue. In our expected scenario, reducing churn by fifty percent through proactive Pro-tier rescue and onboarding improvements saves twenty-four hundred and sixty dollars.</w:t>
      </w:r>
      <w:r>
        <w:br/>
      </w:r>
      <w:r>
        <w:br/>
        <w:t>In our optimistic scenario, combining seventy-five percent churn reduction with modest contract upgrades yields thirty-nine hundred and sixty dollars in annual recurring revenue.</w:t>
      </w:r>
      <w:r>
        <w:br/>
      </w:r>
      <w:r>
        <w:br/>
      </w:r>
      <w:r>
        <w:t>From an ROI perspective, the break-even is extraordinary: because an Enterprise account is worth over five thousand dollars in lifetime revenue and a Pro account is worth twelve hundred dollars, saving just one mid-market customer completely funds our automated ticketing alerts.</w:t>
      </w:r>
    </w:p>
    <w:p w14:paraId="7BEE033D" w14:textId="77777777" w:rsidR="002D2C68" w:rsidRDefault="00237400">
      <w:pPr>
        <w:keepNext/>
        <w:spacing w:before="240" w:after="40"/>
      </w:pPr>
      <w:r>
        <w:rPr>
          <w:b/>
          <w:color w:val="1E3A8A"/>
          <w:sz w:val="26"/>
        </w:rPr>
        <w:t>Segment 5: 30-60-90 Roadmap, Guardrails &amp; Decision Call [2:30 – 3:00]</w:t>
      </w:r>
    </w:p>
    <w:p w14:paraId="74FF47CC" w14:textId="77777777" w:rsidR="002D2C68" w:rsidRDefault="00237400">
      <w:pPr>
        <w:keepNext/>
        <w:spacing w:after="80"/>
      </w:pPr>
      <w:r>
        <w:rPr>
          <w:i/>
          <w:color w:val="0F766E"/>
          <w:sz w:val="20"/>
        </w:rPr>
        <w:t>Synchronized Visual: Slides 9 &amp; 10 (Roadmap, Assumptions &amp; Immediate Decision)</w:t>
      </w:r>
    </w:p>
    <w:p w14:paraId="00725B11" w14:textId="77777777" w:rsidR="002D2C68" w:rsidRDefault="00237400">
      <w:pPr>
        <w:spacing w:after="160"/>
      </w:pPr>
      <w:r>
        <w:t>To execute this responsibly, we recognize our sample size limitations and recommend calibrating score weights quarterly as our customer base scales.</w:t>
      </w:r>
      <w:r>
        <w:br/>
      </w:r>
      <w:r>
        <w:br/>
      </w:r>
      <w:r>
        <w:t>Our execution roadmap moves in three phases: in Days One to Thirty, we deploy real-time Zendesk alerts for any account logging three or more tickets and initiate direct engineering consultations for active Pro accounts. In Days Thirty-One to Sixty, we phase out standalone month-to-month billing on the Pro tier and launch a guided fourteen-day onboarding workflow. In Days Sixty-One to Ninety, we institutionalize Quarterly Executive Business Reviews for Enterprise clients.</w:t>
      </w:r>
      <w:r>
        <w:br/>
      </w:r>
      <w:r>
        <w:br/>
      </w:r>
      <w:r>
        <w:t>Our immediate request today is executive authorization to deploy the Zendesk velocity trigger and launch the Pro-tier annual contract transition program. Thank you, and I look forward to your questions.</w:t>
      </w:r>
    </w:p>
    <w:p w14:paraId="3E1C5BB1" w14:textId="77777777" w:rsidR="002D2C68" w:rsidRDefault="00237400">
      <w:pPr>
        <w:keepNext/>
        <w:spacing w:before="320" w:after="80"/>
      </w:pPr>
      <w:r>
        <w:rPr>
          <w:b/>
          <w:color w:val="1E3A8A"/>
          <w:sz w:val="30"/>
        </w:rPr>
        <w:t>3. Executive Q&amp;A Defense &amp; Objection Handling Guide</w:t>
      </w:r>
    </w:p>
    <w:p w14:paraId="60F657D6" w14:textId="77777777" w:rsidR="002D2C68" w:rsidRDefault="00237400">
      <w:pPr>
        <w:keepNext/>
        <w:spacing w:before="160" w:after="40"/>
      </w:pPr>
      <w:r>
        <w:rPr>
          <w:b/>
          <w:color w:val="1E3A8A"/>
        </w:rPr>
        <w:t>Q: Chief Commercial Officer: 'Will eliminating Month-to-Month contracts hurt top-of-funnel conversion?'</w:t>
      </w:r>
    </w:p>
    <w:p w14:paraId="65949D6F" w14:textId="77777777" w:rsidR="002D2C68" w:rsidRDefault="00237400">
      <w:pPr>
        <w:spacing w:after="120"/>
      </w:pPr>
      <w:r>
        <w:t>Response: 'We are not eliminating flexibility during trial; rather, we are structuring commitments once a customer converts to paid mid-market plans. Month-to-month accounts in our dataset churned at 100%, meaning they incurred full onboarding acquisition cost without generating recurring lifetime value. By pairing mandatory quarterly/annual commitments with a 30-day onboarding money-back guarantee, we preserve sales conversion while eliminating toxic early churn.'</w:t>
      </w:r>
    </w:p>
    <w:p w14:paraId="11688C5C" w14:textId="77777777" w:rsidR="002D2C68" w:rsidRDefault="00237400">
      <w:pPr>
        <w:keepNext/>
        <w:spacing w:before="160" w:after="40"/>
      </w:pPr>
      <w:r>
        <w:rPr>
          <w:b/>
          <w:color w:val="1E3A8A"/>
        </w:rPr>
        <w:lastRenderedPageBreak/>
        <w:t>Q: Chief Financial Officer: 'Can a 15-customer dataset justify structural changes to our pricing and staffing?'</w:t>
      </w:r>
    </w:p>
    <w:p w14:paraId="72DD6183" w14:textId="77777777" w:rsidR="002D2C68" w:rsidRDefault="00237400">
      <w:pPr>
        <w:spacing w:after="120"/>
      </w:pPr>
      <w:r>
        <w:t>Response: 'The 15-account dataset gives us clear deterministic evidence of operational friction, not a final statistical endpoint. That is why our scoring model uses an explainable rule-based framework rather than an uninterpretable machine learning model. Furthermore, our 30-60-90 roadmap is phased: Phase 1 requires zero headcount additions—it simply automates ticket velocity alerts in our existing Zendesk instance.'</w:t>
      </w:r>
    </w:p>
    <w:p w14:paraId="31F2D25B" w14:textId="77777777" w:rsidR="002D2C68" w:rsidRDefault="00237400">
      <w:pPr>
        <w:keepNext/>
        <w:spacing w:before="160" w:after="40"/>
      </w:pPr>
      <w:r>
        <w:rPr>
          <w:b/>
          <w:color w:val="1E3A8A"/>
        </w:rPr>
        <w:t>Q: VP of Product: 'Is support ticket volume really the cause of churn, or is our software just buggy?'</w:t>
      </w:r>
    </w:p>
    <w:p w14:paraId="4B7CB8F6" w14:textId="77777777" w:rsidR="002D2C68" w:rsidRDefault="00237400">
      <w:pPr>
        <w:spacing w:after="120"/>
      </w:pPr>
      <w:r>
        <w:t>Response: 'Support ticket velocity is the thermometer, not the disease. The root cause is early-tenure failure to achieve time-to-value. Customers who submit 4 to 6 tickets within 60 days are experiencing severe configuration friction. By deploying senior engineering dispatch within 24 hours, we cure the technical friction before the customer decides to walk away.'</w:t>
      </w:r>
    </w:p>
    <w:sectPr w:rsidR="002D2C6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1809626">
    <w:abstractNumId w:val="8"/>
  </w:num>
  <w:num w:numId="2" w16cid:durableId="1644776463">
    <w:abstractNumId w:val="6"/>
  </w:num>
  <w:num w:numId="3" w16cid:durableId="1929731249">
    <w:abstractNumId w:val="5"/>
  </w:num>
  <w:num w:numId="4" w16cid:durableId="2036953645">
    <w:abstractNumId w:val="4"/>
  </w:num>
  <w:num w:numId="5" w16cid:durableId="1167136303">
    <w:abstractNumId w:val="7"/>
  </w:num>
  <w:num w:numId="6" w16cid:durableId="478500831">
    <w:abstractNumId w:val="3"/>
  </w:num>
  <w:num w:numId="7" w16cid:durableId="625164487">
    <w:abstractNumId w:val="2"/>
  </w:num>
  <w:num w:numId="8" w16cid:durableId="1317757288">
    <w:abstractNumId w:val="1"/>
  </w:num>
  <w:num w:numId="9" w16cid:durableId="377821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7400"/>
    <w:rsid w:val="0029639D"/>
    <w:rsid w:val="002D2C68"/>
    <w:rsid w:val="00326F90"/>
    <w:rsid w:val="00AA1D8D"/>
    <w:rsid w:val="00B47730"/>
    <w:rsid w:val="00CB0664"/>
    <w:rsid w:val="00D07E14"/>
    <w:rsid w:val="00ED1F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4B33A8D-AB8F-4387-A5A9-9471EC4ED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E293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1262</Words>
  <Characters>7198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MUNAGAPATI JAGADEESWAR</cp:lastModifiedBy>
  <cp:revision>2</cp:revision>
  <dcterms:created xsi:type="dcterms:W3CDTF">2013-12-23T23:15:00Z</dcterms:created>
  <dcterms:modified xsi:type="dcterms:W3CDTF">2026-10-13T07:47:00Z</dcterms:modified>
  <cp:category/>
</cp:coreProperties>
</file>