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170" w:rsidRDefault="00E20170">
      <w:pPr>
        <w:pStyle w:val="Header"/>
        <w:tabs>
          <w:tab w:val="clear" w:pos="4320"/>
          <w:tab w:val="clear" w:pos="8640"/>
        </w:tabs>
        <w:jc w:val="right"/>
      </w:pPr>
      <w:r>
        <w:fldChar w:fldCharType="begin"/>
      </w:r>
      <w:r>
        <w:instrText xml:space="preserve"> SAVEDATE \@ "MMMM d, yyyy" \* MERGEFORMAT </w:instrText>
      </w:r>
      <w:r>
        <w:fldChar w:fldCharType="separate"/>
      </w:r>
      <w:r w:rsidR="00700C59">
        <w:rPr>
          <w:noProof/>
        </w:rPr>
        <w:t>April 1, 2014</w:t>
      </w:r>
      <w:r>
        <w:fldChar w:fldCharType="end"/>
      </w:r>
    </w:p>
    <w:p w:rsidR="00E20170" w:rsidRDefault="00700C59">
      <w:pPr>
        <w:pStyle w:val="Header"/>
        <w:tabs>
          <w:tab w:val="clear" w:pos="4320"/>
          <w:tab w:val="clear" w:pos="8640"/>
        </w:tabs>
        <w:spacing w:before="240"/>
        <w:rPr>
          <w:rFonts w:ascii="Tahoma" w:hAnsi="Tahoma"/>
          <w:b/>
          <w:sz w:val="24"/>
        </w:rPr>
      </w:pPr>
      <w:r>
        <w:rPr>
          <w:rFonts w:ascii="Tahoma" w:hAnsi="Tahoma"/>
          <w:b/>
          <w:sz w:val="24"/>
        </w:rPr>
        <w:t xml:space="preserve">Executive Summary – RTS </w:t>
      </w:r>
      <w:r w:rsidR="000B3D6C">
        <w:rPr>
          <w:rFonts w:ascii="Tahoma" w:hAnsi="Tahoma"/>
          <w:b/>
          <w:sz w:val="24"/>
        </w:rPr>
        <w:t>Automation Code Coverage Goals for 2014</w:t>
      </w:r>
    </w:p>
    <w:p w:rsidR="00E20170" w:rsidRDefault="00700C59">
      <w:pPr>
        <w:keepNext/>
        <w:spacing w:before="360" w:after="240"/>
        <w:rPr>
          <w:b/>
        </w:rPr>
      </w:pPr>
      <w:r w:rsidRPr="00700C59">
        <w:rPr>
          <w:b/>
        </w:rPr>
        <w:t>Automation Code Coverage Goals for 2014</w:t>
      </w:r>
    </w:p>
    <w:p w:rsidR="00E20170" w:rsidRDefault="000B3D6C">
      <w:pPr>
        <w:pStyle w:val="Header"/>
        <w:tabs>
          <w:tab w:val="clear" w:pos="4320"/>
          <w:tab w:val="clear" w:pos="8640"/>
        </w:tabs>
      </w:pPr>
      <w:r>
        <w:t>In 2013 we started automating our manual test scenarios using Robot Framework. As we continue into 2014 we plan on increasing the total number of automated tests. Using the current number of resources</w:t>
      </w:r>
      <w:r w:rsidR="006B1543">
        <w:t xml:space="preserve"> we plan on increasing the number of test scenarios for MD ERT from 774 to 1164, an increase of 50%, or an increase to %14 of the total 8478 manuals test scenarios currently written for MD. For VA we plan on increasing</w:t>
      </w:r>
      <w:r w:rsidR="006A3A31">
        <w:t xml:space="preserve"> </w:t>
      </w:r>
      <w:r w:rsidR="009D42C7">
        <w:t>to 25% or 714 of 2857 test case scenarios</w:t>
      </w:r>
      <w:r w:rsidR="006A3A31">
        <w:t>.  Starting in 2014, CT has been added to the states being automated. By end of year 2014 we plan on having 18% or 390 of 2067 test scenarios automated.</w:t>
      </w:r>
    </w:p>
    <w:p w:rsidR="00367FC8" w:rsidRDefault="00367FC8" w:rsidP="00367FC8">
      <w:pPr>
        <w:rPr>
          <w:b/>
        </w:rPr>
        <w:sectPr w:rsidR="00367FC8" w:rsidSect="00F1756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72"/>
        </w:sectPr>
      </w:pPr>
    </w:p>
    <w:p w:rsidR="001E5CB0" w:rsidRDefault="00A578AB" w:rsidP="00367FC8">
      <w:pPr>
        <w:rPr>
          <w:b/>
        </w:rPr>
      </w:pPr>
      <w:r>
        <w:rPr>
          <w:b/>
        </w:rPr>
        <w:lastRenderedPageBreak/>
        <w:t>Breakdown of the numbers</w:t>
      </w:r>
    </w:p>
    <w:p w:rsidR="00367FC8" w:rsidRDefault="00367FC8" w:rsidP="00367FC8">
      <w:pPr>
        <w:rPr>
          <w:b/>
        </w:rPr>
      </w:pPr>
    </w:p>
    <w:tbl>
      <w:tblPr>
        <w:tblW w:w="5000" w:type="pct"/>
        <w:tblLook w:val="04A0" w:firstRow="1" w:lastRow="0" w:firstColumn="1" w:lastColumn="0" w:noHBand="0" w:noVBand="1"/>
      </w:tblPr>
      <w:tblGrid>
        <w:gridCol w:w="1210"/>
        <w:gridCol w:w="2063"/>
        <w:gridCol w:w="1327"/>
        <w:gridCol w:w="1326"/>
        <w:gridCol w:w="1326"/>
        <w:gridCol w:w="1239"/>
        <w:gridCol w:w="1399"/>
        <w:gridCol w:w="3286"/>
      </w:tblGrid>
      <w:tr w:rsidR="00F17561" w:rsidRPr="00F17561" w:rsidTr="00961D85">
        <w:trPr>
          <w:trHeight w:val="1515"/>
        </w:trPr>
        <w:tc>
          <w:tcPr>
            <w:tcW w:w="459" w:type="pct"/>
            <w:tcBorders>
              <w:top w:val="single" w:sz="8" w:space="0" w:color="auto"/>
              <w:left w:val="single" w:sz="8" w:space="0" w:color="auto"/>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Product</w:t>
            </w:r>
          </w:p>
        </w:tc>
        <w:tc>
          <w:tcPr>
            <w:tcW w:w="783"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Transactio</w:t>
            </w:r>
            <w:r w:rsidRPr="00F17561">
              <w:rPr>
                <w:rFonts w:ascii="Calibri" w:hAnsi="Calibri"/>
                <w:color w:val="1F497D"/>
                <w:sz w:val="22"/>
                <w:szCs w:val="22"/>
              </w:rPr>
              <w:t>n/Module</w:t>
            </w:r>
          </w:p>
        </w:tc>
        <w:tc>
          <w:tcPr>
            <w:tcW w:w="504"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Total # of Manual Test Cases</w:t>
            </w:r>
          </w:p>
        </w:tc>
        <w:tc>
          <w:tcPr>
            <w:tcW w:w="503"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Manual Test Cases Automated</w:t>
            </w:r>
          </w:p>
        </w:tc>
        <w:tc>
          <w:tcPr>
            <w:tcW w:w="503"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Percentage Automated</w:t>
            </w:r>
          </w:p>
        </w:tc>
        <w:tc>
          <w:tcPr>
            <w:tcW w:w="470"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of Data Driving RF Test Cases</w:t>
            </w:r>
          </w:p>
        </w:tc>
        <w:tc>
          <w:tcPr>
            <w:tcW w:w="531"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Status</w:t>
            </w:r>
          </w:p>
        </w:tc>
        <w:tc>
          <w:tcPr>
            <w:tcW w:w="1248" w:type="pct"/>
            <w:tcBorders>
              <w:top w:val="single" w:sz="8" w:space="0" w:color="auto"/>
              <w:left w:val="nil"/>
              <w:bottom w:val="single" w:sz="8" w:space="0" w:color="auto"/>
              <w:right w:val="single" w:sz="8" w:space="0" w:color="auto"/>
            </w:tcBorders>
            <w:shd w:val="clear" w:color="000000" w:fill="C6D9F1"/>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Remarks</w:t>
            </w:r>
          </w:p>
        </w:tc>
      </w:tr>
      <w:tr w:rsidR="00F17561" w:rsidRPr="00F17561" w:rsidTr="00F17561">
        <w:trPr>
          <w:trHeight w:val="315"/>
        </w:trPr>
        <w:tc>
          <w:tcPr>
            <w:tcW w:w="5000" w:type="pct"/>
            <w:gridSpan w:val="8"/>
            <w:tcBorders>
              <w:top w:val="single" w:sz="8" w:space="0" w:color="auto"/>
              <w:left w:val="single" w:sz="8" w:space="0" w:color="auto"/>
              <w:bottom w:val="single" w:sz="8" w:space="0" w:color="auto"/>
              <w:right w:val="single" w:sz="8" w:space="0" w:color="000000"/>
            </w:tcBorders>
            <w:shd w:val="clear" w:color="000000" w:fill="8DB3E2"/>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MD ERT</w:t>
            </w:r>
          </w:p>
        </w:tc>
      </w:tr>
      <w:tr w:rsidR="00961D85" w:rsidRPr="00F17561" w:rsidTr="00961D85">
        <w:trPr>
          <w:trHeight w:val="1500"/>
        </w:trPr>
        <w:tc>
          <w:tcPr>
            <w:tcW w:w="459"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MD ERT</w:t>
            </w:r>
          </w:p>
        </w:tc>
        <w:tc>
          <w:tcPr>
            <w:tcW w:w="783"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SR</w:t>
            </w:r>
          </w:p>
        </w:tc>
        <w:tc>
          <w:tcPr>
            <w:tcW w:w="504"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465</w:t>
            </w:r>
          </w:p>
        </w:tc>
        <w:tc>
          <w:tcPr>
            <w:tcW w:w="503"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258</w:t>
            </w:r>
          </w:p>
        </w:tc>
        <w:tc>
          <w:tcPr>
            <w:tcW w:w="503"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55%</w:t>
            </w:r>
          </w:p>
        </w:tc>
        <w:tc>
          <w:tcPr>
            <w:tcW w:w="470" w:type="pct"/>
            <w:vMerge w:val="restart"/>
            <w:tcBorders>
              <w:top w:val="nil"/>
              <w:left w:val="single" w:sz="8" w:space="0" w:color="auto"/>
              <w:bottom w:val="single" w:sz="8" w:space="0" w:color="000000"/>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37</w:t>
            </w:r>
          </w:p>
        </w:tc>
        <w:tc>
          <w:tcPr>
            <w:tcW w:w="531" w:type="pct"/>
            <w:vMerge w:val="restart"/>
            <w:tcBorders>
              <w:top w:val="nil"/>
              <w:left w:val="single" w:sz="8" w:space="0" w:color="auto"/>
              <w:right w:val="single" w:sz="8" w:space="0" w:color="auto"/>
            </w:tcBorders>
            <w:shd w:val="clear" w:color="000000" w:fill="FFFF00"/>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Maintenance and Refactoring due</w:t>
            </w:r>
          </w:p>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Needs to be maintained for the following. These areas were parked in late November last year for the technical issues and moved to T1. Was not maintained since then, it also has some technical debt like clubbing test data sheets into one.</w:t>
            </w:r>
          </w:p>
        </w:tc>
      </w:tr>
      <w:tr w:rsidR="00961D85" w:rsidRPr="00F17561" w:rsidTr="00961D85">
        <w:trPr>
          <w:trHeight w:val="300"/>
        </w:trPr>
        <w:tc>
          <w:tcPr>
            <w:tcW w:w="459"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78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4"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470"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31" w:type="pct"/>
            <w:vMerge/>
            <w:tcBorders>
              <w:left w:val="single" w:sz="8" w:space="0" w:color="auto"/>
              <w:right w:val="single" w:sz="8" w:space="0" w:color="auto"/>
            </w:tcBorders>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 </w:t>
            </w:r>
          </w:p>
        </w:tc>
      </w:tr>
      <w:tr w:rsidR="00961D85" w:rsidRPr="00F17561" w:rsidTr="00961D85">
        <w:trPr>
          <w:trHeight w:val="300"/>
        </w:trPr>
        <w:tc>
          <w:tcPr>
            <w:tcW w:w="459"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78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4"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470"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31" w:type="pct"/>
            <w:vMerge/>
            <w:tcBorders>
              <w:left w:val="single" w:sz="8" w:space="0" w:color="auto"/>
              <w:right w:val="single" w:sz="8" w:space="0" w:color="auto"/>
            </w:tcBorders>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Following is the debt for all these transactions:</w:t>
            </w:r>
          </w:p>
        </w:tc>
      </w:tr>
      <w:tr w:rsidR="00961D85" w:rsidRPr="00F17561" w:rsidTr="00961D85">
        <w:trPr>
          <w:trHeight w:val="300"/>
        </w:trPr>
        <w:tc>
          <w:tcPr>
            <w:tcW w:w="459"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78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4"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470"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31" w:type="pct"/>
            <w:vMerge/>
            <w:tcBorders>
              <w:left w:val="single" w:sz="8" w:space="0" w:color="auto"/>
              <w:right w:val="single" w:sz="8" w:space="0" w:color="auto"/>
            </w:tcBorders>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Pr="00F17561" w:rsidRDefault="00961D85" w:rsidP="009C4704">
            <w:pPr>
              <w:ind w:left="-1008" w:firstLineChars="500" w:firstLine="1100"/>
              <w:rPr>
                <w:rFonts w:ascii="Symbol" w:hAnsi="Symbol"/>
                <w:color w:val="1F497D"/>
                <w:sz w:val="22"/>
                <w:szCs w:val="22"/>
              </w:rPr>
            </w:pPr>
            <w:r w:rsidRPr="00F17561">
              <w:rPr>
                <w:rFonts w:ascii="Symbol" w:hAnsi="Symbol"/>
                <w:color w:val="1F497D"/>
                <w:sz w:val="22"/>
                <w:szCs w:val="22"/>
              </w:rPr>
              <w:t></w:t>
            </w:r>
            <w:r w:rsidRPr="00F17561">
              <w:rPr>
                <w:color w:val="1F497D"/>
                <w:sz w:val="14"/>
                <w:szCs w:val="14"/>
              </w:rPr>
              <w:t xml:space="preserve">         </w:t>
            </w:r>
            <w:r w:rsidRPr="00F17561">
              <w:rPr>
                <w:rFonts w:ascii="Calibri" w:hAnsi="Calibri"/>
                <w:color w:val="1F497D"/>
                <w:sz w:val="22"/>
                <w:szCs w:val="22"/>
              </w:rPr>
              <w:t>Functionality Changes</w:t>
            </w:r>
          </w:p>
        </w:tc>
      </w:tr>
      <w:tr w:rsidR="00961D85" w:rsidRPr="00F17561" w:rsidTr="00961D85">
        <w:trPr>
          <w:trHeight w:val="315"/>
        </w:trPr>
        <w:tc>
          <w:tcPr>
            <w:tcW w:w="459"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78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4"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03"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470" w:type="pct"/>
            <w:vMerge/>
            <w:tcBorders>
              <w:top w:val="nil"/>
              <w:left w:val="single" w:sz="8" w:space="0" w:color="auto"/>
              <w:bottom w:val="single" w:sz="8" w:space="0" w:color="000000"/>
              <w:right w:val="single" w:sz="8" w:space="0" w:color="auto"/>
            </w:tcBorders>
            <w:vAlign w:val="center"/>
            <w:hideMark/>
          </w:tcPr>
          <w:p w:rsidR="00961D85" w:rsidRPr="00F17561" w:rsidRDefault="00961D85" w:rsidP="00F17561">
            <w:pPr>
              <w:rPr>
                <w:rFonts w:ascii="Calibri" w:hAnsi="Calibri"/>
                <w:color w:val="1F497D"/>
                <w:sz w:val="22"/>
                <w:szCs w:val="22"/>
              </w:rPr>
            </w:pPr>
          </w:p>
        </w:tc>
        <w:tc>
          <w:tcPr>
            <w:tcW w:w="531" w:type="pct"/>
            <w:vMerge/>
            <w:tcBorders>
              <w:left w:val="single" w:sz="8" w:space="0" w:color="auto"/>
              <w:right w:val="single" w:sz="8" w:space="0" w:color="auto"/>
            </w:tcBorders>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Pr="00F17561" w:rsidRDefault="00961D85" w:rsidP="009C4704">
            <w:pPr>
              <w:ind w:left="-1008" w:firstLineChars="500" w:firstLine="1100"/>
              <w:rPr>
                <w:rFonts w:ascii="Symbol" w:hAnsi="Symbol"/>
                <w:color w:val="1F497D"/>
                <w:sz w:val="22"/>
                <w:szCs w:val="22"/>
              </w:rPr>
            </w:pPr>
            <w:r w:rsidRPr="00F17561">
              <w:rPr>
                <w:rFonts w:ascii="Symbol" w:hAnsi="Symbol"/>
                <w:color w:val="1F497D"/>
                <w:sz w:val="22"/>
                <w:szCs w:val="22"/>
              </w:rPr>
              <w:t></w:t>
            </w:r>
            <w:r w:rsidRPr="00F17561">
              <w:rPr>
                <w:color w:val="1F497D"/>
                <w:sz w:val="14"/>
                <w:szCs w:val="14"/>
              </w:rPr>
              <w:t xml:space="preserve">         </w:t>
            </w:r>
            <w:r w:rsidRPr="00F17561">
              <w:rPr>
                <w:rFonts w:ascii="Calibri" w:hAnsi="Calibri"/>
                <w:color w:val="1F497D"/>
                <w:sz w:val="22"/>
                <w:szCs w:val="22"/>
              </w:rPr>
              <w:t>Frames changes</w:t>
            </w:r>
          </w:p>
        </w:tc>
      </w:tr>
      <w:tr w:rsidR="00961D85"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RC</w:t>
            </w:r>
          </w:p>
        </w:tc>
        <w:tc>
          <w:tcPr>
            <w:tcW w:w="504"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26</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20</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77%</w:t>
            </w:r>
          </w:p>
        </w:tc>
        <w:tc>
          <w:tcPr>
            <w:tcW w:w="470"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20</w:t>
            </w:r>
          </w:p>
        </w:tc>
        <w:tc>
          <w:tcPr>
            <w:tcW w:w="531" w:type="pct"/>
            <w:vMerge/>
            <w:tcBorders>
              <w:left w:val="single" w:sz="8" w:space="0" w:color="auto"/>
              <w:right w:val="single" w:sz="8" w:space="0" w:color="auto"/>
            </w:tcBorders>
            <w:shd w:val="clear" w:color="000000" w:fill="FFFF00"/>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Default="00961D85" w:rsidP="009C4704">
            <w:pPr>
              <w:ind w:left="-1008" w:firstLineChars="500" w:firstLine="1100"/>
              <w:rPr>
                <w:rFonts w:ascii="Calibri" w:hAnsi="Calibri"/>
                <w:color w:val="1F497D"/>
                <w:sz w:val="22"/>
                <w:szCs w:val="22"/>
              </w:rPr>
            </w:pPr>
            <w:r w:rsidRPr="00F17561">
              <w:rPr>
                <w:rFonts w:ascii="Symbol" w:hAnsi="Symbol"/>
                <w:color w:val="1F497D"/>
                <w:sz w:val="22"/>
                <w:szCs w:val="22"/>
              </w:rPr>
              <w:t></w:t>
            </w:r>
            <w:r w:rsidRPr="00F17561">
              <w:rPr>
                <w:color w:val="1F497D"/>
                <w:sz w:val="14"/>
                <w:szCs w:val="14"/>
              </w:rPr>
              <w:t xml:space="preserve">         </w:t>
            </w:r>
            <w:r w:rsidRPr="00F17561">
              <w:rPr>
                <w:rFonts w:ascii="Calibri" w:hAnsi="Calibri"/>
                <w:color w:val="1F497D"/>
                <w:sz w:val="22"/>
                <w:szCs w:val="22"/>
              </w:rPr>
              <w:t>Time Sensitive Test Data</w:t>
            </w:r>
          </w:p>
          <w:p w:rsidR="00961D85" w:rsidRPr="00F17561" w:rsidRDefault="00961D85" w:rsidP="009C4704">
            <w:pPr>
              <w:ind w:left="-1008" w:firstLineChars="500" w:firstLine="1100"/>
              <w:rPr>
                <w:rFonts w:ascii="Symbol" w:hAnsi="Symbol"/>
                <w:color w:val="1F497D"/>
                <w:sz w:val="22"/>
                <w:szCs w:val="22"/>
              </w:rPr>
            </w:pPr>
            <w:r w:rsidRPr="00F17561">
              <w:rPr>
                <w:rFonts w:ascii="Calibri" w:hAnsi="Calibri"/>
                <w:color w:val="1F497D"/>
                <w:sz w:val="22"/>
                <w:szCs w:val="22"/>
              </w:rPr>
              <w:t xml:space="preserve"> sanitization</w:t>
            </w:r>
          </w:p>
        </w:tc>
      </w:tr>
      <w:tr w:rsidR="00961D85"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DU</w:t>
            </w:r>
          </w:p>
        </w:tc>
        <w:tc>
          <w:tcPr>
            <w:tcW w:w="504"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165</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150</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91%</w:t>
            </w:r>
          </w:p>
        </w:tc>
        <w:tc>
          <w:tcPr>
            <w:tcW w:w="470"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30</w:t>
            </w:r>
          </w:p>
        </w:tc>
        <w:tc>
          <w:tcPr>
            <w:tcW w:w="531" w:type="pct"/>
            <w:vMerge/>
            <w:tcBorders>
              <w:left w:val="single" w:sz="8" w:space="0" w:color="auto"/>
              <w:right w:val="single" w:sz="8" w:space="0" w:color="auto"/>
            </w:tcBorders>
            <w:shd w:val="clear" w:color="000000" w:fill="FFFF00"/>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nil"/>
              <w:right w:val="single" w:sz="8" w:space="0" w:color="auto"/>
            </w:tcBorders>
            <w:shd w:val="clear" w:color="auto" w:fill="auto"/>
            <w:vAlign w:val="center"/>
            <w:hideMark/>
          </w:tcPr>
          <w:p w:rsidR="00961D85" w:rsidRDefault="00961D85" w:rsidP="009C4704">
            <w:pPr>
              <w:ind w:left="-1008" w:firstLineChars="500" w:firstLine="1100"/>
              <w:rPr>
                <w:rFonts w:ascii="Calibri" w:hAnsi="Calibri"/>
                <w:color w:val="1F497D"/>
                <w:sz w:val="22"/>
                <w:szCs w:val="22"/>
              </w:rPr>
            </w:pPr>
            <w:r w:rsidRPr="00F17561">
              <w:rPr>
                <w:rFonts w:ascii="Symbol" w:hAnsi="Symbol"/>
                <w:color w:val="1F497D"/>
                <w:sz w:val="22"/>
                <w:szCs w:val="22"/>
              </w:rPr>
              <w:t></w:t>
            </w:r>
            <w:r w:rsidRPr="00F17561">
              <w:rPr>
                <w:color w:val="1F497D"/>
                <w:sz w:val="14"/>
                <w:szCs w:val="14"/>
              </w:rPr>
              <w:t xml:space="preserve">         </w:t>
            </w:r>
            <w:r w:rsidRPr="00F17561">
              <w:rPr>
                <w:rFonts w:ascii="Calibri" w:hAnsi="Calibri"/>
                <w:color w:val="1F497D"/>
                <w:sz w:val="22"/>
                <w:szCs w:val="22"/>
              </w:rPr>
              <w:t>Fix consistency issues</w:t>
            </w:r>
          </w:p>
          <w:p w:rsidR="00961D85" w:rsidRDefault="00961D85" w:rsidP="009C4704">
            <w:pPr>
              <w:ind w:left="-1008" w:firstLineChars="500" w:firstLine="1100"/>
              <w:rPr>
                <w:rFonts w:ascii="Calibri" w:hAnsi="Calibri"/>
                <w:color w:val="1F497D"/>
                <w:sz w:val="22"/>
                <w:szCs w:val="22"/>
              </w:rPr>
            </w:pPr>
            <w:r w:rsidRPr="00F17561">
              <w:rPr>
                <w:rFonts w:ascii="Calibri" w:hAnsi="Calibri"/>
                <w:color w:val="1F497D"/>
                <w:sz w:val="22"/>
                <w:szCs w:val="22"/>
              </w:rPr>
              <w:t xml:space="preserve"> prevai</w:t>
            </w:r>
            <w:r>
              <w:rPr>
                <w:rFonts w:ascii="Calibri" w:hAnsi="Calibri"/>
                <w:color w:val="1F497D"/>
                <w:sz w:val="22"/>
                <w:szCs w:val="22"/>
              </w:rPr>
              <w:t>ling earlier when we</w:t>
            </w:r>
          </w:p>
          <w:p w:rsidR="00961D85" w:rsidRPr="00F17561" w:rsidRDefault="00961D85" w:rsidP="009C4704">
            <w:pPr>
              <w:ind w:left="-1008" w:firstLineChars="500" w:firstLine="1100"/>
              <w:rPr>
                <w:rFonts w:ascii="Symbol" w:hAnsi="Symbol"/>
                <w:color w:val="1F497D"/>
                <w:sz w:val="22"/>
                <w:szCs w:val="22"/>
              </w:rPr>
            </w:pPr>
            <w:r w:rsidRPr="00F17561">
              <w:rPr>
                <w:rFonts w:ascii="Calibri" w:hAnsi="Calibri"/>
                <w:color w:val="1F497D"/>
                <w:sz w:val="22"/>
                <w:szCs w:val="22"/>
              </w:rPr>
              <w:t>parked them</w:t>
            </w:r>
          </w:p>
        </w:tc>
      </w:tr>
      <w:tr w:rsidR="00961D85"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rPr>
                <w:rFonts w:ascii="Calibri" w:hAnsi="Calibri"/>
                <w:color w:val="1F497D"/>
                <w:sz w:val="22"/>
                <w:szCs w:val="22"/>
              </w:rPr>
            </w:pPr>
            <w:r w:rsidRPr="00F17561">
              <w:rPr>
                <w:rFonts w:ascii="Calibri" w:hAnsi="Calibri"/>
                <w:color w:val="1F497D"/>
                <w:sz w:val="22"/>
                <w:szCs w:val="22"/>
              </w:rPr>
              <w:t>SS</w:t>
            </w:r>
          </w:p>
        </w:tc>
        <w:tc>
          <w:tcPr>
            <w:tcW w:w="504"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185</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160</w:t>
            </w:r>
          </w:p>
        </w:tc>
        <w:tc>
          <w:tcPr>
            <w:tcW w:w="503"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86%</w:t>
            </w:r>
          </w:p>
        </w:tc>
        <w:tc>
          <w:tcPr>
            <w:tcW w:w="470" w:type="pct"/>
            <w:tcBorders>
              <w:top w:val="nil"/>
              <w:left w:val="nil"/>
              <w:bottom w:val="single" w:sz="8" w:space="0" w:color="auto"/>
              <w:right w:val="single" w:sz="8" w:space="0" w:color="auto"/>
            </w:tcBorders>
            <w:shd w:val="clear" w:color="auto" w:fill="auto"/>
            <w:vAlign w:val="center"/>
            <w:hideMark/>
          </w:tcPr>
          <w:p w:rsidR="00961D85" w:rsidRPr="00F17561" w:rsidRDefault="00961D85" w:rsidP="00F17561">
            <w:pPr>
              <w:jc w:val="center"/>
              <w:rPr>
                <w:rFonts w:ascii="Calibri" w:hAnsi="Calibri"/>
                <w:color w:val="1F497D"/>
                <w:sz w:val="22"/>
                <w:szCs w:val="22"/>
              </w:rPr>
            </w:pPr>
            <w:r w:rsidRPr="00F17561">
              <w:rPr>
                <w:rFonts w:ascii="Calibri" w:hAnsi="Calibri"/>
                <w:color w:val="1F497D"/>
                <w:sz w:val="22"/>
                <w:szCs w:val="22"/>
              </w:rPr>
              <w:t>39</w:t>
            </w:r>
          </w:p>
        </w:tc>
        <w:tc>
          <w:tcPr>
            <w:tcW w:w="531" w:type="pct"/>
            <w:vMerge/>
            <w:tcBorders>
              <w:left w:val="single" w:sz="8" w:space="0" w:color="auto"/>
              <w:bottom w:val="single" w:sz="8" w:space="0" w:color="auto"/>
              <w:right w:val="single" w:sz="8" w:space="0" w:color="auto"/>
            </w:tcBorders>
            <w:shd w:val="clear" w:color="000000" w:fill="FFFF00"/>
            <w:vAlign w:val="center"/>
            <w:hideMark/>
          </w:tcPr>
          <w:p w:rsidR="00961D85" w:rsidRPr="00F17561" w:rsidRDefault="00961D85" w:rsidP="009C4704">
            <w:pPr>
              <w:ind w:left="-1008"/>
              <w:rPr>
                <w:rFonts w:ascii="Calibri" w:hAnsi="Calibri"/>
                <w:color w:val="1F497D"/>
                <w:sz w:val="22"/>
                <w:szCs w:val="22"/>
              </w:rPr>
            </w:pPr>
          </w:p>
        </w:tc>
        <w:tc>
          <w:tcPr>
            <w:tcW w:w="1248" w:type="pct"/>
            <w:tcBorders>
              <w:top w:val="nil"/>
              <w:left w:val="nil"/>
              <w:bottom w:val="single" w:sz="8" w:space="0" w:color="auto"/>
              <w:right w:val="single" w:sz="8" w:space="0" w:color="auto"/>
            </w:tcBorders>
            <w:shd w:val="clear" w:color="auto" w:fill="auto"/>
            <w:vAlign w:val="center"/>
            <w:hideMark/>
          </w:tcPr>
          <w:p w:rsidR="00961D85" w:rsidRDefault="00961D85" w:rsidP="009C4704">
            <w:pPr>
              <w:ind w:left="-1008" w:firstLineChars="500" w:firstLine="1100"/>
              <w:rPr>
                <w:rFonts w:ascii="Calibri" w:hAnsi="Calibri"/>
                <w:color w:val="1F497D"/>
                <w:sz w:val="22"/>
                <w:szCs w:val="22"/>
              </w:rPr>
            </w:pPr>
            <w:r w:rsidRPr="00F17561">
              <w:rPr>
                <w:rFonts w:ascii="Symbol" w:hAnsi="Symbol"/>
                <w:color w:val="1F497D"/>
                <w:sz w:val="22"/>
                <w:szCs w:val="22"/>
              </w:rPr>
              <w:t></w:t>
            </w:r>
            <w:r w:rsidRPr="00F17561">
              <w:rPr>
                <w:color w:val="1F497D"/>
                <w:sz w:val="14"/>
                <w:szCs w:val="14"/>
              </w:rPr>
              <w:t xml:space="preserve">         </w:t>
            </w:r>
            <w:r w:rsidRPr="00F17561">
              <w:rPr>
                <w:rFonts w:ascii="Calibri" w:hAnsi="Calibri"/>
                <w:color w:val="1F497D"/>
                <w:sz w:val="22"/>
                <w:szCs w:val="22"/>
              </w:rPr>
              <w:t>Data Clubbing into unique</w:t>
            </w:r>
          </w:p>
          <w:p w:rsidR="00961D85" w:rsidRPr="00F17561" w:rsidRDefault="00961D85" w:rsidP="009C4704">
            <w:pPr>
              <w:ind w:left="-1008" w:firstLineChars="500" w:firstLine="1100"/>
              <w:rPr>
                <w:rFonts w:ascii="Symbol" w:hAnsi="Symbol"/>
                <w:color w:val="1F497D"/>
                <w:sz w:val="22"/>
                <w:szCs w:val="22"/>
              </w:rPr>
            </w:pPr>
            <w:r w:rsidRPr="00F17561">
              <w:rPr>
                <w:rFonts w:ascii="Calibri" w:hAnsi="Calibri"/>
                <w:color w:val="1F497D"/>
                <w:sz w:val="22"/>
                <w:szCs w:val="22"/>
              </w:rPr>
              <w:t xml:space="preserve"> data sheets</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c>
          <w:tcPr>
            <w:tcW w:w="783"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T1</w:t>
            </w:r>
          </w:p>
        </w:tc>
        <w:tc>
          <w:tcPr>
            <w:tcW w:w="504"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568</w:t>
            </w:r>
          </w:p>
        </w:tc>
        <w:tc>
          <w:tcPr>
            <w:tcW w:w="503"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130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23%</w:t>
            </w:r>
          </w:p>
        </w:tc>
        <w:tc>
          <w:tcPr>
            <w:tcW w:w="470"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36</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2502"/>
        </w:trPr>
        <w:tc>
          <w:tcPr>
            <w:tcW w:w="459" w:type="pct"/>
            <w:tcBorders>
              <w:top w:val="nil"/>
              <w:left w:val="single" w:sz="8" w:space="0" w:color="auto"/>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lastRenderedPageBreak/>
              <w:t> </w:t>
            </w:r>
          </w:p>
        </w:tc>
        <w:tc>
          <w:tcPr>
            <w:tcW w:w="783"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Other</w:t>
            </w:r>
          </w:p>
        </w:tc>
        <w:tc>
          <w:tcPr>
            <w:tcW w:w="504"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7069</w:t>
            </w:r>
          </w:p>
        </w:tc>
        <w:tc>
          <w:tcPr>
            <w:tcW w:w="503"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This includes test scenarios under Transactions (T2, T3 Renew w/Transfer, T3 Class Change w/Transfer, T4, T5, ST, DT, NR, RT, TM, AF, SI), Dashboard, Fees, Documents /Forms &amp; Reports, Manage Transactions, Manage Inventory, Manage Favorites, Security, PII Masking(Transaction), Inventory, Utilities, Help, and CAS Regression</w:t>
            </w:r>
          </w:p>
        </w:tc>
      </w:tr>
      <w:tr w:rsidR="00F17561" w:rsidRPr="00F17561" w:rsidTr="00961D85">
        <w:trPr>
          <w:trHeight w:val="9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MD ERT  Current Total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8478</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774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9%</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162</w:t>
            </w:r>
          </w:p>
        </w:tc>
        <w:tc>
          <w:tcPr>
            <w:tcW w:w="531"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r>
      <w:tr w:rsidR="00F17561" w:rsidRPr="00F17561" w:rsidTr="00961D85">
        <w:trPr>
          <w:trHeight w:val="9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MD ERT 2014 Goal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8478</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1164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14%</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 </w:t>
            </w:r>
          </w:p>
        </w:tc>
        <w:tc>
          <w:tcPr>
            <w:tcW w:w="531"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r>
      <w:tr w:rsidR="00F17561" w:rsidRPr="00F17561" w:rsidTr="00F17561">
        <w:trPr>
          <w:trHeight w:val="315"/>
        </w:trPr>
        <w:tc>
          <w:tcPr>
            <w:tcW w:w="5000" w:type="pct"/>
            <w:gridSpan w:val="8"/>
            <w:tcBorders>
              <w:top w:val="single" w:sz="8" w:space="0" w:color="auto"/>
              <w:left w:val="single" w:sz="8" w:space="0" w:color="auto"/>
              <w:bottom w:val="single" w:sz="8" w:space="0" w:color="auto"/>
              <w:right w:val="single" w:sz="8" w:space="0" w:color="000000"/>
            </w:tcBorders>
            <w:shd w:val="clear" w:color="000000" w:fill="8DB3E2"/>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VA ERT</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VA ERT</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Dealer - Vanity Plates</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289</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221</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76%</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31</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Rental - New Registration</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55</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38</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69%</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Rental - Transfer</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39</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85%</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Rental - Transfer with Renewal</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55</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43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78%</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34</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9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Rental -  Standalone Renewal</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36</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31</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86%</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31</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Dealer – New Registration</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44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32</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73%</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lastRenderedPageBreak/>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Dealer - Transfer</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39</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85%</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Dealer - Transfer with Renewal</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55</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43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78%</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34</w:t>
            </w:r>
          </w:p>
        </w:tc>
        <w:tc>
          <w:tcPr>
            <w:tcW w:w="531" w:type="pct"/>
            <w:tcBorders>
              <w:top w:val="nil"/>
              <w:left w:val="nil"/>
              <w:bottom w:val="single" w:sz="8" w:space="0" w:color="auto"/>
              <w:right w:val="single" w:sz="8" w:space="0" w:color="auto"/>
            </w:tcBorders>
            <w:shd w:val="clear" w:color="000000" w:fill="92D050"/>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Developed and TESTED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1999"/>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Other</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2245</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This includes test scenarios under Dealer Title Only, Title Only, Temp Tag, Transport Tag, Manage Inventory, Standalone Inquiry, Manage Favorites, Manage Preferences, Manage Transactions, Fee Validation, Reports, Utilities, Logbook, Help, CAS</w:t>
            </w:r>
          </w:p>
        </w:tc>
      </w:tr>
      <w:tr w:rsidR="00F17561" w:rsidRPr="00F17561" w:rsidTr="00961D85">
        <w:trPr>
          <w:trHeight w:val="9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VA ERT Current Total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2857</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474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17%</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230</w:t>
            </w:r>
          </w:p>
        </w:tc>
        <w:tc>
          <w:tcPr>
            <w:tcW w:w="531"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9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VA ERT 2014 Goal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2857</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714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 </w:t>
            </w:r>
          </w:p>
        </w:tc>
        <w:tc>
          <w:tcPr>
            <w:tcW w:w="531" w:type="pct"/>
            <w:tcBorders>
              <w:top w:val="nil"/>
              <w:left w:val="nil"/>
              <w:bottom w:val="single" w:sz="8" w:space="0" w:color="auto"/>
              <w:right w:val="single" w:sz="8" w:space="0" w:color="auto"/>
            </w:tcBorders>
            <w:shd w:val="clear" w:color="000000" w:fill="FFFFFF"/>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F17561">
        <w:trPr>
          <w:trHeight w:val="315"/>
        </w:trPr>
        <w:tc>
          <w:tcPr>
            <w:tcW w:w="5000" w:type="pct"/>
            <w:gridSpan w:val="8"/>
            <w:tcBorders>
              <w:top w:val="single" w:sz="8" w:space="0" w:color="auto"/>
              <w:left w:val="single" w:sz="8" w:space="0" w:color="auto"/>
              <w:bottom w:val="single" w:sz="8" w:space="0" w:color="auto"/>
              <w:right w:val="single" w:sz="8" w:space="0" w:color="000000"/>
            </w:tcBorders>
            <w:shd w:val="clear" w:color="000000" w:fill="8DB3E2"/>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CT ERT</w:t>
            </w:r>
          </w:p>
        </w:tc>
      </w:tr>
      <w:tr w:rsidR="00F17561" w:rsidRPr="00F17561" w:rsidTr="00961D85">
        <w:trPr>
          <w:trHeight w:val="15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CT ERT Regression Test Plan - Phase 1</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Business Rule Validation</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211</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Compliance</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19</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Features</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141</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Inventory</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252</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lastRenderedPageBreak/>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Manage</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43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Miscellaneous</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Reports</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266</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Transactional Issues</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285</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nil"/>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Transactions</w:t>
            </w:r>
          </w:p>
        </w:tc>
        <w:tc>
          <w:tcPr>
            <w:tcW w:w="504" w:type="pct"/>
            <w:tcBorders>
              <w:top w:val="nil"/>
              <w:left w:val="nil"/>
              <w:bottom w:val="nil"/>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133</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End-To-End</w:t>
            </w:r>
          </w:p>
        </w:tc>
        <w:tc>
          <w:tcPr>
            <w:tcW w:w="504" w:type="pct"/>
            <w:tcBorders>
              <w:top w:val="single" w:sz="8" w:space="0" w:color="auto"/>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34</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5E3221">
        <w:trPr>
          <w:trHeight w:val="1321"/>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CT ERT Test Planning - Phase 2</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Cancel Registration</w:t>
            </w:r>
          </w:p>
        </w:tc>
        <w:tc>
          <w:tcPr>
            <w:tcW w:w="504" w:type="pct"/>
            <w:tcBorders>
              <w:top w:val="nil"/>
              <w:left w:val="nil"/>
              <w:bottom w:val="nil"/>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12</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nil"/>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Image</w:t>
            </w:r>
          </w:p>
        </w:tc>
        <w:tc>
          <w:tcPr>
            <w:tcW w:w="504" w:type="pct"/>
            <w:tcBorders>
              <w:top w:val="single" w:sz="8" w:space="0" w:color="auto"/>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169</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In-Transit</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40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61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proofErr w:type="spellStart"/>
            <w:r w:rsidRPr="00F17561">
              <w:rPr>
                <w:rFonts w:ascii="Calibri" w:hAnsi="Calibri"/>
                <w:color w:val="1F497D"/>
                <w:sz w:val="22"/>
                <w:szCs w:val="22"/>
              </w:rPr>
              <w:t>Misc</w:t>
            </w:r>
            <w:proofErr w:type="spellEnd"/>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172</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493"/>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Renew</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277</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color w:val="1F497D"/>
                <w:sz w:val="22"/>
                <w:szCs w:val="22"/>
              </w:rPr>
            </w:pPr>
            <w:r w:rsidRPr="00F17561">
              <w:rPr>
                <w:rFonts w:ascii="Calibri" w:hAnsi="Calibri"/>
                <w:color w:val="1F497D"/>
                <w:sz w:val="22"/>
                <w:szCs w:val="22"/>
              </w:rPr>
              <w:t>0</w:t>
            </w:r>
          </w:p>
        </w:tc>
        <w:tc>
          <w:tcPr>
            <w:tcW w:w="531" w:type="pct"/>
            <w:tcBorders>
              <w:top w:val="nil"/>
              <w:left w:val="nil"/>
              <w:bottom w:val="single" w:sz="8" w:space="0" w:color="auto"/>
              <w:right w:val="single" w:sz="8" w:space="0" w:color="auto"/>
            </w:tcBorders>
            <w:shd w:val="clear" w:color="000000" w:fill="FFC7CE"/>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Not Yet Started</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754"/>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CT ERT Current Total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2067</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0%</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0</w:t>
            </w:r>
          </w:p>
        </w:tc>
        <w:tc>
          <w:tcPr>
            <w:tcW w:w="531"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r w:rsidR="00F17561" w:rsidRPr="00F17561" w:rsidTr="00961D85">
        <w:trPr>
          <w:trHeight w:val="565"/>
        </w:trPr>
        <w:tc>
          <w:tcPr>
            <w:tcW w:w="459" w:type="pct"/>
            <w:tcBorders>
              <w:top w:val="nil"/>
              <w:left w:val="single" w:sz="8" w:space="0" w:color="auto"/>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CT ERT 2014 Goal</w:t>
            </w:r>
          </w:p>
        </w:tc>
        <w:tc>
          <w:tcPr>
            <w:tcW w:w="78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b/>
                <w:bCs/>
                <w:color w:val="1F497D"/>
                <w:sz w:val="22"/>
                <w:szCs w:val="22"/>
              </w:rPr>
            </w:pPr>
            <w:r w:rsidRPr="00F17561">
              <w:rPr>
                <w:rFonts w:ascii="Calibri" w:hAnsi="Calibri"/>
                <w:b/>
                <w:bCs/>
                <w:color w:val="1F497D"/>
                <w:sz w:val="22"/>
                <w:szCs w:val="22"/>
              </w:rPr>
              <w:t> </w:t>
            </w:r>
          </w:p>
        </w:tc>
        <w:tc>
          <w:tcPr>
            <w:tcW w:w="504"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2067</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390</w:t>
            </w:r>
          </w:p>
        </w:tc>
        <w:tc>
          <w:tcPr>
            <w:tcW w:w="503"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19%</w:t>
            </w:r>
          </w:p>
        </w:tc>
        <w:tc>
          <w:tcPr>
            <w:tcW w:w="470"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jc w:val="center"/>
              <w:rPr>
                <w:rFonts w:ascii="Calibri" w:hAnsi="Calibri"/>
                <w:b/>
                <w:bCs/>
                <w:color w:val="1F497D"/>
                <w:sz w:val="22"/>
                <w:szCs w:val="22"/>
              </w:rPr>
            </w:pPr>
            <w:r w:rsidRPr="00F17561">
              <w:rPr>
                <w:rFonts w:ascii="Calibri" w:hAnsi="Calibri"/>
                <w:b/>
                <w:bCs/>
                <w:color w:val="1F497D"/>
                <w:sz w:val="22"/>
                <w:szCs w:val="22"/>
              </w:rPr>
              <w:t>0</w:t>
            </w:r>
          </w:p>
        </w:tc>
        <w:tc>
          <w:tcPr>
            <w:tcW w:w="531"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9C0006"/>
                <w:sz w:val="22"/>
                <w:szCs w:val="22"/>
              </w:rPr>
            </w:pPr>
            <w:r w:rsidRPr="00F17561">
              <w:rPr>
                <w:rFonts w:ascii="Calibri" w:hAnsi="Calibri"/>
                <w:color w:val="9C0006"/>
                <w:sz w:val="22"/>
                <w:szCs w:val="22"/>
              </w:rPr>
              <w:t> </w:t>
            </w:r>
          </w:p>
        </w:tc>
        <w:tc>
          <w:tcPr>
            <w:tcW w:w="1248" w:type="pct"/>
            <w:tcBorders>
              <w:top w:val="nil"/>
              <w:left w:val="nil"/>
              <w:bottom w:val="single" w:sz="8" w:space="0" w:color="auto"/>
              <w:right w:val="single" w:sz="8" w:space="0" w:color="auto"/>
            </w:tcBorders>
            <w:shd w:val="clear" w:color="auto" w:fill="auto"/>
            <w:vAlign w:val="center"/>
            <w:hideMark/>
          </w:tcPr>
          <w:p w:rsidR="00F17561" w:rsidRPr="00F17561" w:rsidRDefault="00F17561" w:rsidP="00F17561">
            <w:pPr>
              <w:rPr>
                <w:rFonts w:ascii="Calibri" w:hAnsi="Calibri"/>
                <w:color w:val="1F497D"/>
                <w:sz w:val="22"/>
                <w:szCs w:val="22"/>
              </w:rPr>
            </w:pPr>
            <w:r w:rsidRPr="00F17561">
              <w:rPr>
                <w:rFonts w:ascii="Calibri" w:hAnsi="Calibri"/>
                <w:color w:val="1F497D"/>
                <w:sz w:val="22"/>
                <w:szCs w:val="22"/>
              </w:rPr>
              <w:t> </w:t>
            </w:r>
          </w:p>
        </w:tc>
      </w:tr>
    </w:tbl>
    <w:p w:rsidR="00F17561" w:rsidRDefault="00F17561" w:rsidP="005E3221">
      <w:pPr>
        <w:rPr>
          <w:b/>
        </w:rPr>
      </w:pPr>
      <w:bookmarkStart w:id="0" w:name="_GoBack"/>
      <w:bookmarkEnd w:id="0"/>
    </w:p>
    <w:sectPr w:rsidR="00F17561" w:rsidSect="009C4704">
      <w:pgSz w:w="15840" w:h="12240" w:orient="landscape"/>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4A7" w:rsidRDefault="004624A7">
      <w:r>
        <w:separator/>
      </w:r>
    </w:p>
  </w:endnote>
  <w:endnote w:type="continuationSeparator" w:id="0">
    <w:p w:rsidR="004624A7" w:rsidRDefault="00462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7561" w:rsidRDefault="00F175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pPr>
      <w:pStyle w:val="Footer"/>
      <w:jc w:val="center"/>
    </w:pPr>
    <w:r>
      <w:t xml:space="preserve">Page </w:t>
    </w:r>
    <w:r>
      <w:fldChar w:fldCharType="begin"/>
    </w:r>
    <w:r>
      <w:instrText xml:space="preserve"> PAGE </w:instrText>
    </w:r>
    <w:r>
      <w:fldChar w:fldCharType="separate"/>
    </w:r>
    <w:r w:rsidR="005E3221">
      <w:rPr>
        <w:noProof/>
      </w:rPr>
      <w:t>5</w:t>
    </w:r>
    <w:r>
      <w:fldChar w:fldCharType="end"/>
    </w:r>
    <w:r>
      <w:t xml:space="preserve"> </w:t>
    </w:r>
    <w:proofErr w:type="gramStart"/>
    <w:r>
      <w:t xml:space="preserve">of  </w:t>
    </w:r>
    <w:proofErr w:type="gramEnd"/>
    <w:r>
      <w:fldChar w:fldCharType="begin"/>
    </w:r>
    <w:r>
      <w:instrText xml:space="preserve"> NUMPAGES </w:instrText>
    </w:r>
    <w:r>
      <w:fldChar w:fldCharType="separate"/>
    </w:r>
    <w:r w:rsidR="005E3221">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pPr>
      <w:pStyle w:val="Footer"/>
      <w:jc w:val="center"/>
    </w:pPr>
    <w:r>
      <w:t xml:space="preserve">Page </w:t>
    </w:r>
    <w:r>
      <w:fldChar w:fldCharType="begin"/>
    </w:r>
    <w:r>
      <w:instrText xml:space="preserve"> PAGE </w:instrText>
    </w:r>
    <w:r>
      <w:fldChar w:fldCharType="separate"/>
    </w:r>
    <w:r w:rsidR="005E3221">
      <w:rPr>
        <w:noProof/>
      </w:rPr>
      <w:t>2</w:t>
    </w:r>
    <w:r>
      <w:fldChar w:fldCharType="end"/>
    </w:r>
    <w:r>
      <w:t xml:space="preserve"> </w:t>
    </w:r>
    <w:proofErr w:type="gramStart"/>
    <w:r>
      <w:t xml:space="preserve">of  </w:t>
    </w:r>
    <w:proofErr w:type="gramEnd"/>
    <w:r>
      <w:fldChar w:fldCharType="begin"/>
    </w:r>
    <w:r>
      <w:instrText xml:space="preserve"> NUMPAGES </w:instrText>
    </w:r>
    <w:r>
      <w:fldChar w:fldCharType="separate"/>
    </w:r>
    <w:r w:rsidR="005E3221">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4A7" w:rsidRDefault="004624A7">
      <w:r>
        <w:separator/>
      </w:r>
    </w:p>
  </w:footnote>
  <w:footnote w:type="continuationSeparator" w:id="0">
    <w:p w:rsidR="004624A7" w:rsidRDefault="004624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7561" w:rsidRDefault="00F175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7561" w:rsidRDefault="00F17561" w:rsidP="000E504E">
    <w:pPr>
      <w:pStyle w:val="Header"/>
      <w:ind w:left="3874"/>
    </w:pPr>
    <w:r>
      <w:rPr>
        <w:noProof/>
      </w:rPr>
      <w:drawing>
        <wp:anchor distT="0" distB="0" distL="114300" distR="114300" simplePos="0" relativeHeight="251657216" behindDoc="0" locked="0" layoutInCell="1" allowOverlap="1" wp14:anchorId="228614FE" wp14:editId="0CE01C6F">
          <wp:simplePos x="0" y="0"/>
          <wp:positionH relativeFrom="column">
            <wp:posOffset>-241300</wp:posOffset>
          </wp:positionH>
          <wp:positionV relativeFrom="paragraph">
            <wp:posOffset>635</wp:posOffset>
          </wp:positionV>
          <wp:extent cx="2861310" cy="342265"/>
          <wp:effectExtent l="0" t="0" r="0" b="635"/>
          <wp:wrapNone/>
          <wp:docPr id="2" name="Picture 22" descr="DT_Technologies_InlineCore(300dpi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_Technologies_InlineCore(300dpi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310" cy="342265"/>
                  </a:xfrm>
                  <a:prstGeom prst="rect">
                    <a:avLst/>
                  </a:prstGeom>
                  <a:noFill/>
                </pic:spPr>
              </pic:pic>
            </a:graphicData>
          </a:graphic>
          <wp14:sizeRelH relativeFrom="page">
            <wp14:pctWidth>0</wp14:pctWidth>
          </wp14:sizeRelH>
          <wp14:sizeRelV relativeFrom="page">
            <wp14:pctHeight>0</wp14:pctHeight>
          </wp14:sizeRelV>
        </wp:anchor>
      </w:drawing>
    </w:r>
  </w:p>
  <w:p w:rsidR="00F17561" w:rsidRDefault="00F17561" w:rsidP="000E504E">
    <w:pPr>
      <w:pStyle w:val="Header"/>
      <w:spacing w:before="20"/>
      <w:ind w:left="3874"/>
    </w:pPr>
    <w:r>
      <w:t>Registration and Titling Services | Software Quality Assurance</w:t>
    </w:r>
  </w:p>
  <w:p w:rsidR="00F17561" w:rsidRPr="000E504E" w:rsidRDefault="00F17561" w:rsidP="000E504E">
    <w:pPr>
      <w:pStyle w:val="Header"/>
    </w:pPr>
    <w:r>
      <w:rPr>
        <w:noProof/>
      </w:rPr>
      <mc:AlternateContent>
        <mc:Choice Requires="wps">
          <w:drawing>
            <wp:anchor distT="0" distB="0" distL="114300" distR="114300" simplePos="0" relativeHeight="251658240" behindDoc="0" locked="0" layoutInCell="0" allowOverlap="1" wp14:anchorId="0CAF7EBB" wp14:editId="439D8C72">
              <wp:simplePos x="0" y="0"/>
              <wp:positionH relativeFrom="column">
                <wp:posOffset>2463165</wp:posOffset>
              </wp:positionH>
              <wp:positionV relativeFrom="paragraph">
                <wp:posOffset>11430</wp:posOffset>
              </wp:positionV>
              <wp:extent cx="3480435"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80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95pt,.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vXEQIAACg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" o:allowincell="f" strokeweight=".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7734"/>
    <w:multiLevelType w:val="singleLevel"/>
    <w:tmpl w:val="0409000F"/>
    <w:lvl w:ilvl="0">
      <w:start w:val="1"/>
      <w:numFmt w:val="decimal"/>
      <w:lvlText w:val="%1."/>
      <w:lvlJc w:val="left"/>
      <w:pPr>
        <w:tabs>
          <w:tab w:val="num" w:pos="360"/>
        </w:tabs>
        <w:ind w:left="360" w:hanging="360"/>
      </w:pPr>
    </w:lvl>
  </w:abstractNum>
  <w:abstractNum w:abstractNumId="1">
    <w:nsid w:val="2BD37279"/>
    <w:multiLevelType w:val="singleLevel"/>
    <w:tmpl w:val="0409000F"/>
    <w:lvl w:ilvl="0">
      <w:start w:val="1"/>
      <w:numFmt w:val="decimal"/>
      <w:lvlText w:val="%1."/>
      <w:lvlJc w:val="left"/>
      <w:pPr>
        <w:tabs>
          <w:tab w:val="num" w:pos="360"/>
        </w:tabs>
        <w:ind w:left="360" w:hanging="360"/>
      </w:pPr>
    </w:lvl>
  </w:abstractNum>
  <w:abstractNum w:abstractNumId="2">
    <w:nsid w:val="46E630E3"/>
    <w:multiLevelType w:val="singleLevel"/>
    <w:tmpl w:val="4ABC83E2"/>
    <w:lvl w:ilvl="0">
      <w:start w:val="1"/>
      <w:numFmt w:val="decimal"/>
      <w:pStyle w:val="Number"/>
      <w:lvlText w:val="%1."/>
      <w:lvlJc w:val="left"/>
      <w:pPr>
        <w:tabs>
          <w:tab w:val="num" w:pos="360"/>
        </w:tabs>
        <w:ind w:left="360" w:hanging="360"/>
      </w:pPr>
    </w:lvl>
  </w:abstractNum>
  <w:abstractNum w:abstractNumId="3">
    <w:nsid w:val="5861410A"/>
    <w:multiLevelType w:val="singleLevel"/>
    <w:tmpl w:val="C0088EB2"/>
    <w:lvl w:ilvl="0">
      <w:start w:val="1"/>
      <w:numFmt w:val="upperRoman"/>
      <w:pStyle w:val="Subtitle"/>
      <w:lvlText w:val="%1."/>
      <w:lvlJc w:val="left"/>
      <w:pPr>
        <w:tabs>
          <w:tab w:val="num" w:pos="720"/>
        </w:tabs>
        <w:ind w:left="720" w:hanging="720"/>
      </w:pPr>
      <w:rPr>
        <w:rFonts w:hint="default"/>
      </w:rPr>
    </w:lvl>
  </w:abstractNum>
  <w:abstractNum w:abstractNumId="4">
    <w:nsid w:val="77CB7BB5"/>
    <w:multiLevelType w:val="singleLevel"/>
    <w:tmpl w:val="4DF067EA"/>
    <w:lvl w:ilvl="0">
      <w:start w:val="1"/>
      <w:numFmt w:val="decimal"/>
      <w:lvlText w:val="%1."/>
      <w:lvlJc w:val="left"/>
      <w:pPr>
        <w:tabs>
          <w:tab w:val="num" w:pos="1800"/>
        </w:tabs>
        <w:ind w:left="1800" w:hanging="360"/>
      </w:pPr>
      <w:rPr>
        <w:rFonts w:hint="default"/>
      </w:rPr>
    </w:lvl>
  </w:abstractNum>
  <w:abstractNum w:abstractNumId="5">
    <w:nsid w:val="79B7236F"/>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7D8F26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FC27B4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D6C"/>
    <w:rsid w:val="00021075"/>
    <w:rsid w:val="00026BF9"/>
    <w:rsid w:val="000B3D6C"/>
    <w:rsid w:val="000E504E"/>
    <w:rsid w:val="001E5CB0"/>
    <w:rsid w:val="002209CB"/>
    <w:rsid w:val="00224794"/>
    <w:rsid w:val="00367FC8"/>
    <w:rsid w:val="004624A7"/>
    <w:rsid w:val="00495074"/>
    <w:rsid w:val="005425ED"/>
    <w:rsid w:val="005E3221"/>
    <w:rsid w:val="006A3A31"/>
    <w:rsid w:val="006B1543"/>
    <w:rsid w:val="00700C59"/>
    <w:rsid w:val="00807E9C"/>
    <w:rsid w:val="00961D85"/>
    <w:rsid w:val="009A7626"/>
    <w:rsid w:val="009C4704"/>
    <w:rsid w:val="009D42C7"/>
    <w:rsid w:val="00A578AB"/>
    <w:rsid w:val="00C45084"/>
    <w:rsid w:val="00D66C83"/>
    <w:rsid w:val="00E20170"/>
    <w:rsid w:val="00E4342D"/>
    <w:rsid w:val="00F17561"/>
    <w:rsid w:val="00F2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Tahoma" w:hAnsi="Tahoma"/>
      <w:b/>
      <w:sz w:val="24"/>
    </w:rPr>
  </w:style>
  <w:style w:type="paragraph" w:customStyle="1" w:styleId="SpecHeading3-SpaceBefore">
    <w:name w:val="Spec Heading 3 - Space Before"/>
    <w:basedOn w:val="Normal"/>
    <w:next w:val="Normal"/>
    <w:pPr>
      <w:keepNext/>
      <w:spacing w:before="480"/>
    </w:pPr>
    <w:rPr>
      <w:rFonts w:ascii="Tahoma" w:hAnsi="Tahoma"/>
      <w:b/>
      <w:sz w:val="24"/>
    </w:rPr>
  </w:style>
  <w:style w:type="paragraph" w:customStyle="1" w:styleId="ProjectTitle">
    <w:name w:val="Project Title"/>
    <w:basedOn w:val="Normal"/>
    <w:next w:val="Normal"/>
    <w:pPr>
      <w:spacing w:before="360" w:after="200"/>
    </w:pPr>
    <w:rPr>
      <w:rFonts w:ascii="Tahoma" w:hAnsi="Tahoma"/>
      <w:b/>
    </w:rPr>
  </w:style>
  <w:style w:type="paragraph" w:styleId="Subtitle">
    <w:name w:val="Subtitle"/>
    <w:basedOn w:val="Normal"/>
    <w:qFormat/>
    <w:pPr>
      <w:numPr>
        <w:numId w:val="2"/>
      </w:numPr>
    </w:pPr>
    <w:rPr>
      <w:b/>
      <w:sz w:val="22"/>
    </w:rPr>
  </w:style>
  <w:style w:type="character" w:customStyle="1" w:styleId="HeaderChar">
    <w:name w:val="Header Char"/>
    <w:basedOn w:val="DefaultParagraphFont"/>
    <w:link w:val="Header"/>
    <w:uiPriority w:val="99"/>
    <w:rsid w:val="002209CB"/>
  </w:style>
  <w:style w:type="paragraph" w:customStyle="1" w:styleId="Number">
    <w:name w:val="Number"/>
    <w:basedOn w:val="Normal"/>
    <w:pPr>
      <w:numPr>
        <w:numId w:val="5"/>
      </w:numPr>
      <w:spacing w:after="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ind w:left="72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rFonts w:ascii="Tahoma" w:hAnsi="Tahoma"/>
      <w:b/>
      <w:sz w:val="24"/>
    </w:rPr>
  </w:style>
  <w:style w:type="paragraph" w:customStyle="1" w:styleId="SpecHeading3-SpaceBefore">
    <w:name w:val="Spec Heading 3 - Space Before"/>
    <w:basedOn w:val="Normal"/>
    <w:next w:val="Normal"/>
    <w:pPr>
      <w:keepNext/>
      <w:spacing w:before="480"/>
    </w:pPr>
    <w:rPr>
      <w:rFonts w:ascii="Tahoma" w:hAnsi="Tahoma"/>
      <w:b/>
      <w:sz w:val="24"/>
    </w:rPr>
  </w:style>
  <w:style w:type="paragraph" w:customStyle="1" w:styleId="ProjectTitle">
    <w:name w:val="Project Title"/>
    <w:basedOn w:val="Normal"/>
    <w:next w:val="Normal"/>
    <w:pPr>
      <w:spacing w:before="360" w:after="200"/>
    </w:pPr>
    <w:rPr>
      <w:rFonts w:ascii="Tahoma" w:hAnsi="Tahoma"/>
      <w:b/>
    </w:rPr>
  </w:style>
  <w:style w:type="paragraph" w:styleId="Subtitle">
    <w:name w:val="Subtitle"/>
    <w:basedOn w:val="Normal"/>
    <w:qFormat/>
    <w:pPr>
      <w:numPr>
        <w:numId w:val="2"/>
      </w:numPr>
    </w:pPr>
    <w:rPr>
      <w:b/>
      <w:sz w:val="22"/>
    </w:rPr>
  </w:style>
  <w:style w:type="character" w:customStyle="1" w:styleId="HeaderChar">
    <w:name w:val="Header Char"/>
    <w:basedOn w:val="DefaultParagraphFont"/>
    <w:link w:val="Header"/>
    <w:uiPriority w:val="99"/>
    <w:rsid w:val="002209CB"/>
  </w:style>
  <w:style w:type="paragraph" w:customStyle="1" w:styleId="Number">
    <w:name w:val="Number"/>
    <w:basedOn w:val="Normal"/>
    <w:pPr>
      <w:numPr>
        <w:numId w:val="5"/>
      </w:numPr>
      <w:spacing w:after="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7838">
      <w:bodyDiv w:val="1"/>
      <w:marLeft w:val="0"/>
      <w:marRight w:val="0"/>
      <w:marTop w:val="0"/>
      <w:marBottom w:val="0"/>
      <w:divBdr>
        <w:top w:val="none" w:sz="0" w:space="0" w:color="auto"/>
        <w:left w:val="none" w:sz="0" w:space="0" w:color="auto"/>
        <w:bottom w:val="none" w:sz="0" w:space="0" w:color="auto"/>
        <w:right w:val="none" w:sz="0" w:space="0" w:color="auto"/>
      </w:divBdr>
    </w:div>
    <w:div w:id="357975675">
      <w:bodyDiv w:val="1"/>
      <w:marLeft w:val="0"/>
      <w:marRight w:val="0"/>
      <w:marTop w:val="0"/>
      <w:marBottom w:val="0"/>
      <w:divBdr>
        <w:top w:val="none" w:sz="0" w:space="0" w:color="auto"/>
        <w:left w:val="none" w:sz="0" w:space="0" w:color="auto"/>
        <w:bottom w:val="none" w:sz="0" w:space="0" w:color="auto"/>
        <w:right w:val="none" w:sz="0" w:space="0" w:color="auto"/>
      </w:divBdr>
    </w:div>
    <w:div w:id="627976186">
      <w:bodyDiv w:val="1"/>
      <w:marLeft w:val="0"/>
      <w:marRight w:val="0"/>
      <w:marTop w:val="0"/>
      <w:marBottom w:val="0"/>
      <w:divBdr>
        <w:top w:val="none" w:sz="0" w:space="0" w:color="auto"/>
        <w:left w:val="none" w:sz="0" w:space="0" w:color="auto"/>
        <w:bottom w:val="none" w:sz="0" w:space="0" w:color="auto"/>
        <w:right w:val="none" w:sz="0" w:space="0" w:color="auto"/>
      </w:divBdr>
    </w:div>
    <w:div w:id="1406682713">
      <w:bodyDiv w:val="1"/>
      <w:marLeft w:val="0"/>
      <w:marRight w:val="0"/>
      <w:marTop w:val="0"/>
      <w:marBottom w:val="0"/>
      <w:divBdr>
        <w:top w:val="none" w:sz="0" w:space="0" w:color="auto"/>
        <w:left w:val="none" w:sz="0" w:space="0" w:color="auto"/>
        <w:bottom w:val="none" w:sz="0" w:space="0" w:color="auto"/>
        <w:right w:val="none" w:sz="0" w:space="0" w:color="auto"/>
      </w:divBdr>
    </w:div>
    <w:div w:id="1826701597">
      <w:bodyDiv w:val="1"/>
      <w:marLeft w:val="0"/>
      <w:marRight w:val="0"/>
      <w:marTop w:val="0"/>
      <w:marBottom w:val="0"/>
      <w:divBdr>
        <w:top w:val="none" w:sz="0" w:space="0" w:color="auto"/>
        <w:left w:val="none" w:sz="0" w:space="0" w:color="auto"/>
        <w:bottom w:val="none" w:sz="0" w:space="0" w:color="auto"/>
        <w:right w:val="none" w:sz="0" w:space="0" w:color="auto"/>
      </w:divBdr>
    </w:div>
    <w:div w:id="1881435924">
      <w:bodyDiv w:val="1"/>
      <w:marLeft w:val="0"/>
      <w:marRight w:val="0"/>
      <w:marTop w:val="0"/>
      <w:marBottom w:val="0"/>
      <w:divBdr>
        <w:top w:val="none" w:sz="0" w:space="0" w:color="auto"/>
        <w:left w:val="none" w:sz="0" w:space="0" w:color="auto"/>
        <w:bottom w:val="none" w:sz="0" w:space="0" w:color="auto"/>
        <w:right w:val="none" w:sz="0" w:space="0" w:color="auto"/>
      </w:divBdr>
    </w:div>
    <w:div w:id="19386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Templates\QA\QA_Letter_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09CE8-E65B-4A8B-AFD0-612AF71F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QA_Letter_Head</Template>
  <TotalTime>263</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November 20, 2000</vt:lpstr>
    </vt:vector>
  </TitlesOfParts>
  <Company>General Systems Solutions</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20, 2000</dc:title>
  <dc:creator>Edward Manlove</dc:creator>
  <cp:lastModifiedBy>Edward Manlove</cp:lastModifiedBy>
  <cp:revision>11</cp:revision>
  <cp:lastPrinted>2000-12-05T12:56:00Z</cp:lastPrinted>
  <dcterms:created xsi:type="dcterms:W3CDTF">2014-03-31T16:57:00Z</dcterms:created>
  <dcterms:modified xsi:type="dcterms:W3CDTF">2014-04-01T18:12:00Z</dcterms:modified>
</cp:coreProperties>
</file>