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Leave and Attendance Policy</w:t>
      </w:r>
    </w:p>
    <w:p>
      <w:r>
        <w:t>Owner: Snehal Patil, HR Manager. Applies to all 74 employees.</w:t>
      </w:r>
    </w:p>
    <w:p>
      <w:pPr>
        <w:pStyle w:val="Heading1"/>
      </w:pPr>
      <w:r>
        <w:t>Leave entitlement per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Leave type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Earned leave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Casual leave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Sick leave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Shift cover</w:t>
      </w:r>
    </w:p>
    <w:p>
      <w:r>
        <w:t>Dialysis runs every day except Sunday. Leave for nurses and technicians is approved only when the shift stays covered.</w:t>
      </w:r>
    </w:p>
    <w:p>
      <w:r>
        <w:t>Every critical task, including water plant disinfection, must have a named backup person at each centre.</w:t>
      </w:r>
    </w:p>
    <w:p>
      <w:pPr>
        <w:pStyle w:val="Heading1"/>
      </w:pPr>
      <w:r>
        <w:t>Attendance</w:t>
      </w:r>
    </w:p>
    <w:p>
      <w:r>
        <w:t>Staff mark attendance with the biometric reader at the start and end of every 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