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Performance Appraisal Policy</w:t>
      </w:r>
    </w:p>
    <w:p>
      <w:r>
        <w:t>Owner: Snehal Patil, HR Manager. The appraisal cycle runs every April.</w:t>
      </w:r>
    </w:p>
    <w:p>
      <w:pPr>
        <w:pStyle w:val="Heading1"/>
      </w:pPr>
      <w:r>
        <w:t>Ratings and increments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Increment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>
              <w:t>12 percent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Exceeds expectations</w:t>
            </w:r>
          </w:p>
        </w:tc>
        <w:tc>
          <w:tcPr>
            <w:tcW w:type="dxa" w:w="2880"/>
          </w:tcPr>
          <w:p>
            <w:r>
              <w:t>9 percent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Meets expectations</w:t>
            </w:r>
          </w:p>
        </w:tc>
        <w:tc>
          <w:tcPr>
            <w:tcW w:type="dxa" w:w="2880"/>
          </w:tcPr>
          <w:p>
            <w:r>
              <w:t>6 percent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Needs improvement</w:t>
            </w:r>
          </w:p>
        </w:tc>
        <w:tc>
          <w:tcPr>
            <w:tcW w:type="dxa" w:w="2880"/>
          </w:tcPr>
          <w:p>
            <w:r>
              <w:t>3 percent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Unsatisfactory</w:t>
            </w:r>
          </w:p>
        </w:tc>
        <w:tc>
          <w:tcPr>
            <w:tcW w:type="dxa" w:w="2880"/>
          </w:tcPr>
          <w:p>
            <w:r>
              <w:t>0 percent and a performance improvement plan</w:t>
            </w:r>
          </w:p>
        </w:tc>
      </w:tr>
    </w:tbl>
    <w:p>
      <w:pPr>
        <w:pStyle w:val="Heading1"/>
      </w:pPr>
      <w:r>
        <w:t>What clinical staff are rated on</w:t>
      </w:r>
    </w:p>
    <w:p>
      <w:r>
        <w:t>Patient safety and infection control practice (including hand hygiene audit results), attendance, teamwork and training completed.</w:t>
      </w:r>
    </w:p>
    <w:p>
      <w:r>
        <w:t>Employees still on probation in April are appraised at the end of probation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