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Infection Report — Pimpri, Case 1</w:t>
      </w:r>
    </w:p>
    <w:p>
      <w:r>
        <w:t>Patient ID: PMP-0412 (de-identified). Centre: Nephrova Pimpri. Date identified: 3 September 2026. Reported by Pooja Shinde.</w:t>
      </w:r>
    </w:p>
    <w:p>
      <w:pPr>
        <w:pStyle w:val="Heading1"/>
      </w:pPr>
      <w:r>
        <w:t>Clinical summary</w:t>
      </w:r>
    </w:p>
    <w:p>
      <w:r>
        <w:t>The patient dialyses through a tunnelled catheter and developed fever with chills at the start of dialysis.</w:t>
      </w:r>
    </w:p>
    <w:p>
      <w:r>
        <w:t>Blood cultures from the catheter and a peripheral vein grew the same organism.</w:t>
      </w:r>
    </w:p>
    <w:p>
      <w:pPr>
        <w:pStyle w:val="Heading1"/>
      </w:pPr>
      <w:r>
        <w:t>Diagnosis and treatment</w:t>
      </w:r>
    </w:p>
    <w:p>
      <w:r>
        <w:t>The catheter-related bloodstream infection was treated with vancomycin given after each dialysis session for three weeks.</w:t>
      </w:r>
    </w:p>
    <w:p>
      <w:r>
        <w:t>The patient was reviewed by the nephrologist and continued dialysis at Pimpri.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