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5314B"/>
          <w:sz w:val="44"/>
          <w:szCs w:val="44"/>
        </w:rPr>
        <w:t xml:space="preserve">AirWatch India</w:t>
      </w:r>
    </w:p>
    <w:p>
      <w:pPr>
        <w:spacing w:after="40"/>
        <w:jc w:val="center"/>
      </w:pPr>
      <w:r>
        <w:rPr>
          <w:color w:val="0E7C86"/>
          <w:sz w:val="24"/>
          <w:szCs w:val="24"/>
        </w:rPr>
        <w:t xml:space="preserve">Viva brief and frontend walkthrough</w:t>
      </w:r>
    </w:p>
    <w:p>
      <w:pPr>
        <w:spacing w:after="260"/>
        <w:jc w:val="center"/>
      </w:pPr>
      <w:r>
        <w:rPr>
          <w:i/>
          <w:iCs/>
          <w:color w:val="46525F"/>
          <w:sz w:val="19"/>
          <w:szCs w:val="19"/>
        </w:rPr>
        <w:t xml:space="preserve">23AID302 — Big Data Analytics</w:t>
      </w:r>
    </w:p>
    <w:p>
      <w:pPr>
        <w:pStyle w:val="Heading1"/>
        <w:spacing w:after="140" w:before="320"/>
      </w:pPr>
      <w:r>
        <w:t xml:space="preserve">1. The objective, in one paragraph</w:t>
      </w:r>
    </w:p>
    <w:p>
      <w:pPr>
        <w:spacing w:after="130" w:line="280"/>
      </w:pPr>
      <w:r>
        <w:t xml:space="preserve">Air pollution harms people on a timescale where one hour of warning is useful. The objective of this project is to give people that hour. We learn from thirteen years of Central Pollution Control Board station history, watch live atmospheric data for 230 Indian cities, forecast each city's PM2.5 one hour ahead, and issue a public warning wherever the forecast National AQI crosses 150.</w:t>
      </w:r>
    </w:p>
    <w:p>
      <w:pPr>
        <w:spacing w:after="130" w:line="280"/>
      </w:pPr>
      <w:r>
        <w:rPr>
          <w:b/>
          <w:bCs/>
        </w:rPr>
        <w:t xml:space="preserve">The deliverable is not a chart. It is a message: </w:t>
      </w:r>
      <w:r>
        <w:t xml:space="preserve">“Air quality in Jaisalmer is expected to reach AQI 500 (Severe) by 00:00 today, caused by coarse dust. Avoid all outdoor activity.” Everything else — the 154-million-row lakehouse, the model, the streaming engine, Hive — exists to produce that sentence accurately and an hour early.</w:t>
      </w:r>
    </w:p>
    <w:p>
      <w:pPr>
        <w:pStyle w:val="Heading1"/>
        <w:spacing w:after="140" w:before="320"/>
      </w:pPr>
      <w:r>
        <w:t xml:space="preserve">2. Why this is a Big Data problem, not a spreadsheet problem</w:t>
      </w:r>
    </w:p>
    <w:p>
      <w:pPr>
        <w:spacing w:after="130" w:line="280"/>
      </w:pPr>
      <w:r>
        <w:t xml:space="preserve">A fair question is why any of this needs Hadoop. Four reasons, each a real constraint we hit: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c>
          <w:tcPr>
            <w:tcW w:type="dxa" w:w="3100"/>
            <w:shd w:fill="15314B" w:val="clear"/>
            <w:tcMar>
              <w:top w:type="dxa" w:w="60"/>
              <w:left w:type="dxa" w:w="100"/>
              <w:bottom w:type="dxa" w:w="60"/>
              <w:right w:type="dxa" w:w="100"/>
            </w:tcMar>
            <w:vAlign w:val="center"/>
          </w:tcPr>
          <w:p>
            <w:r>
              <w:rPr>
                <w:b/>
                <w:bCs/>
                <w:color w:val="FFFFFF"/>
                <w:sz w:val="19"/>
                <w:szCs w:val="19"/>
              </w:rPr>
              <w:t xml:space="preserve">The V</w:t>
            </w:r>
          </w:p>
        </w:tc>
        <w:tc>
          <w:tcPr>
            <w:tcW w:type="dxa" w:w="5900"/>
            <w:shd w:fill="15314B" w:val="clear"/>
            <w:tcMar>
              <w:top w:type="dxa" w:w="60"/>
              <w:left w:type="dxa" w:w="100"/>
              <w:bottom w:type="dxa" w:w="60"/>
              <w:right w:type="dxa" w:w="100"/>
            </w:tcMar>
            <w:vAlign w:val="center"/>
          </w:tcPr>
          <w:p>
            <w:r>
              <w:rPr>
                <w:b/>
                <w:bCs/>
                <w:color w:val="FFFFFF"/>
                <w:sz w:val="19"/>
                <w:szCs w:val="19"/>
              </w:rPr>
              <w:t xml:space="preserve">Why it forces distributed tooling here</w:t>
            </w:r>
          </w:p>
        </w:tc>
      </w:tr>
      <w:tr>
        <w:tc>
          <w:tcPr>
            <w:tcW w:type="dxa" w:w="3100"/>
            <w:tcMar>
              <w:top w:type="dxa" w:w="60"/>
              <w:left w:type="dxa" w:w="100"/>
              <w:bottom w:type="dxa" w:w="60"/>
              <w:right w:type="dxa" w:w="100"/>
            </w:tcMar>
            <w:vAlign w:val="center"/>
          </w:tcPr>
          <w:p>
            <w:r>
              <w:rPr>
                <w:b w:val="false"/>
                <w:bCs w:val="false"/>
                <w:sz w:val="19"/>
                <w:szCs w:val="19"/>
              </w:rPr>
              <w:t xml:space="preserve">Volume</w:t>
            </w:r>
          </w:p>
        </w:tc>
        <w:tc>
          <w:tcPr>
            <w:tcW w:type="dxa" w:w="5900"/>
            <w:tcMar>
              <w:top w:type="dxa" w:w="60"/>
              <w:left w:type="dxa" w:w="100"/>
              <w:bottom w:type="dxa" w:w="60"/>
              <w:right w:type="dxa" w:w="100"/>
            </w:tcMar>
            <w:vAlign w:val="center"/>
          </w:tcPr>
          <w:p>
            <w:r>
              <w:rPr>
                <w:b w:val="false"/>
                <w:bCs w:val="false"/>
                <w:sz w:val="19"/>
                <w:szCs w:val="19"/>
              </w:rPr>
              <w:t xml:space="preserve">154,583,979 rows, 33 GB. Phase 4 alone reads 146M rows and writes 19.7 GB. This does not open in Excel, pandas, or one machine's memory.</w:t>
            </w:r>
          </w:p>
        </w:tc>
      </w:tr>
      <w:tr>
        <w:tc>
          <w:tcPr>
            <w:tcW w:type="dxa" w:w="3100"/>
            <w:tcMar>
              <w:top w:type="dxa" w:w="60"/>
              <w:left w:type="dxa" w:w="100"/>
              <w:bottom w:type="dxa" w:w="60"/>
              <w:right w:type="dxa" w:w="100"/>
            </w:tcMar>
            <w:vAlign w:val="center"/>
          </w:tcPr>
          <w:p>
            <w:r>
              <w:rPr>
                <w:b w:val="false"/>
                <w:bCs w:val="false"/>
                <w:sz w:val="19"/>
                <w:szCs w:val="19"/>
              </w:rPr>
              <w:t xml:space="preserve">Variety</w:t>
            </w:r>
          </w:p>
        </w:tc>
        <w:tc>
          <w:tcPr>
            <w:tcW w:type="dxa" w:w="5900"/>
            <w:tcMar>
              <w:top w:type="dxa" w:w="60"/>
              <w:left w:type="dxa" w:w="100"/>
              <w:bottom w:type="dxa" w:w="60"/>
              <w:right w:type="dxa" w:w="100"/>
            </w:tcMar>
            <w:vAlign w:val="center"/>
          </w:tcPr>
          <w:p>
            <w:r>
              <w:rPr>
                <w:b w:val="false"/>
                <w:bCs w:val="false"/>
                <w:sz w:val="19"/>
                <w:szCs w:val="19"/>
              </w:rPr>
              <w:t xml:space="preserve">Two different data models: flat fixed-schema CSV and nested self-describing JSON. Spark reads both with native readers and unions them onto one schema in a single job.</w:t>
            </w:r>
          </w:p>
        </w:tc>
      </w:tr>
      <w:tr>
        <w:tc>
          <w:tcPr>
            <w:tcW w:type="dxa" w:w="3100"/>
            <w:tcMar>
              <w:top w:type="dxa" w:w="60"/>
              <w:left w:type="dxa" w:w="100"/>
              <w:bottom w:type="dxa" w:w="60"/>
              <w:right w:type="dxa" w:w="100"/>
            </w:tcMar>
            <w:vAlign w:val="center"/>
          </w:tcPr>
          <w:p>
            <w:r>
              <w:rPr>
                <w:b w:val="false"/>
                <w:bCs w:val="false"/>
                <w:sz w:val="19"/>
                <w:szCs w:val="19"/>
              </w:rPr>
              <w:t xml:space="preserve">Velocity</w:t>
            </w:r>
          </w:p>
        </w:tc>
        <w:tc>
          <w:tcPr>
            <w:tcW w:type="dxa" w:w="5900"/>
            <w:tcMar>
              <w:top w:type="dxa" w:w="60"/>
              <w:left w:type="dxa" w:w="100"/>
              <w:bottom w:type="dxa" w:w="60"/>
              <w:right w:type="dxa" w:w="100"/>
            </w:tcMar>
            <w:vAlign w:val="center"/>
          </w:tcPr>
          <w:p>
            <w:r>
              <w:rPr>
                <w:b w:val="false"/>
                <w:bCs w:val="false"/>
                <w:sz w:val="19"/>
                <w:szCs w:val="19"/>
              </w:rPr>
              <w:t xml:space="preserve">Alerting is worthless late. Spark Structured Streaming scores micro-batches every 10 seconds at roughly 7 seconds latency.</w:t>
            </w:r>
          </w:p>
        </w:tc>
      </w:tr>
      <w:tr>
        <w:tc>
          <w:tcPr>
            <w:tcW w:type="dxa" w:w="3100"/>
            <w:tcMar>
              <w:top w:type="dxa" w:w="60"/>
              <w:left w:type="dxa" w:w="100"/>
              <w:bottom w:type="dxa" w:w="60"/>
              <w:right w:type="dxa" w:w="100"/>
            </w:tcMar>
            <w:vAlign w:val="center"/>
          </w:tcPr>
          <w:p>
            <w:r>
              <w:rPr>
                <w:b w:val="false"/>
                <w:bCs w:val="false"/>
                <w:sz w:val="19"/>
                <w:szCs w:val="19"/>
              </w:rPr>
              <w:t xml:space="preserve">Veracity</w:t>
            </w:r>
          </w:p>
        </w:tc>
        <w:tc>
          <w:tcPr>
            <w:tcW w:type="dxa" w:w="5900"/>
            <w:tcMar>
              <w:top w:type="dxa" w:w="60"/>
              <w:left w:type="dxa" w:w="100"/>
              <w:bottom w:type="dxa" w:w="60"/>
              <w:right w:type="dxa" w:w="100"/>
            </w:tcMar>
            <w:vAlign w:val="center"/>
          </w:tcPr>
          <w:p>
            <w:r>
              <w:rPr>
                <w:b w:val="false"/>
                <w:bCs w:val="false"/>
                <w:sz w:val="19"/>
                <w:szCs w:val="19"/>
              </w:rPr>
              <w:t xml:space="preserve">88.9% of the structured rows are synthetic. That has to be proven honest, not assumed — hence five statistical tests plus an independent cross-check.</w:t>
            </w:r>
          </w:p>
        </w:tc>
      </w:tr>
      <w:tr>
        <w:tc>
          <w:tcPr>
            <w:tcW w:type="dxa" w:w="3100"/>
            <w:tcMar>
              <w:top w:type="dxa" w:w="60"/>
              <w:left w:type="dxa" w:w="100"/>
              <w:bottom w:type="dxa" w:w="60"/>
              <w:right w:type="dxa" w:w="100"/>
            </w:tcMar>
            <w:vAlign w:val="center"/>
          </w:tcPr>
          <w:p>
            <w:r>
              <w:rPr>
                <w:b w:val="false"/>
                <w:bCs w:val="false"/>
                <w:sz w:val="19"/>
                <w:szCs w:val="19"/>
              </w:rPr>
              <w:t xml:space="preserve">Value</w:t>
            </w:r>
          </w:p>
        </w:tc>
        <w:tc>
          <w:tcPr>
            <w:tcW w:type="dxa" w:w="5900"/>
            <w:tcMar>
              <w:top w:type="dxa" w:w="60"/>
              <w:left w:type="dxa" w:w="100"/>
              <w:bottom w:type="dxa" w:w="60"/>
              <w:right w:type="dxa" w:w="100"/>
            </w:tcMar>
            <w:vAlign w:val="center"/>
          </w:tcPr>
          <w:p>
            <w:r>
              <w:rPr>
                <w:b w:val="false"/>
                <w:bCs w:val="false"/>
                <w:sz w:val="19"/>
                <w:szCs w:val="19"/>
              </w:rPr>
              <w:t xml:space="preserve">An hour of warning before pollution arrives, for 230 cities at once.</w:t>
            </w:r>
          </w:p>
        </w:tc>
      </w:tr>
    </w:tbl>
    <w:p>
      <w:pPr>
        <w:spacing w:after="130" w:line="280"/>
      </w:pPr>
      <w:r>
        <w:rPr>
          <w:color w:val="46525F"/>
          <w:sz w:val="19"/>
          <w:szCs w:val="19"/>
        </w:rPr>
        <w:t xml:space="preserve">Concrete proof it needed the cluster: training on a 10-million-row sample of 74.5 million was itself a RAM ceiling on a 15.7 GB machine, and the full-scale feature job had to be tuned for a 4-node cluster before its 19.7 GB write would complete.</w:t>
      </w:r>
    </w:p>
    <w:p>
      <w:pPr>
        <w:pStyle w:val="Heading1"/>
        <w:spacing w:after="140" w:before="320"/>
      </w:pPr>
      <w:r>
        <w:t xml:space="preserve">3. The frontend: what it is and how it works</w:t>
      </w:r>
    </w:p>
    <w:p>
      <w:pPr>
        <w:spacing w:after="130" w:line="280"/>
      </w:pPr>
      <w:r>
        <w:t xml:space="preserve">One self-contained HTML file: dashboard/AirWatch_India.html. Double-click it — no server, no internet, no cluster needed.</w:t>
      </w:r>
    </w:p>
    <w:p>
      <w:pPr>
        <w:pStyle w:val="Heading2"/>
        <w:spacing w:after="90" w:before="220"/>
      </w:pPr>
      <w:r>
        <w:t xml:space="preserve">Where its numbers come from</w:t>
      </w:r>
    </w:p>
    <w:p>
      <w:pPr>
        <w:spacing w:after="130" w:line="280"/>
      </w:pPr>
      <w:r>
        <w:rPr>
          <w:rFonts w:ascii="Consolas" w:cs="Consolas" w:eastAsia="Consolas" w:hAnsi="Consolas"/>
          <w:sz w:val="19"/>
          <w:szCs w:val="19"/>
        </w:rPr>
        <w:t xml:space="preserve">Hive → export job → one small JSON → embedded into the page at build time.</w:t>
      </w:r>
    </w:p>
    <w:p>
      <w:pPr>
        <w:spacing w:after="130" w:line="280"/>
      </w:pPr>
      <w:r>
        <w:t xml:space="preserve">Every figure on the page came out of a Hive SQL query against the external tables over HDFS Parquet. The page itself does not run those queries — it displays results Hive already computed.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15314B" w:val="clear"/>
            <w:tcMar>
              <w:top w:type="dxa" w:w="60"/>
              <w:left w:type="dxa" w:w="100"/>
              <w:bottom w:type="dxa" w:w="60"/>
              <w:right w:type="dxa" w:w="100"/>
            </w:tcMar>
            <w:vAlign w:val="center"/>
          </w:tcPr>
          <w:p>
            <w:r>
              <w:rPr>
                <w:b/>
                <w:bCs/>
                <w:color w:val="FFFFFF"/>
                <w:sz w:val="19"/>
                <w:szCs w:val="19"/>
              </w:rPr>
              <w:t xml:space="preserve"/>
            </w:r>
          </w:p>
        </w:tc>
        <w:tc>
          <w:tcPr>
            <w:tcW w:type="dxa" w:w="3200"/>
            <w:shd w:fill="15314B" w:val="clear"/>
            <w:tcMar>
              <w:top w:type="dxa" w:w="60"/>
              <w:left w:type="dxa" w:w="100"/>
              <w:bottom w:type="dxa" w:w="60"/>
              <w:right w:type="dxa" w:w="100"/>
            </w:tcMar>
            <w:vAlign w:val="center"/>
          </w:tcPr>
          <w:p>
            <w:r>
              <w:rPr>
                <w:b/>
                <w:bCs/>
                <w:color w:val="FFFFFF"/>
                <w:sz w:val="19"/>
                <w:szCs w:val="19"/>
              </w:rPr>
              <w:t xml:space="preserve">If the page queried Hive live</w:t>
            </w:r>
          </w:p>
        </w:tc>
        <w:tc>
          <w:tcPr>
            <w:tcW w:type="dxa" w:w="3200"/>
            <w:shd w:fill="15314B" w:val="clear"/>
            <w:tcMar>
              <w:top w:type="dxa" w:w="60"/>
              <w:left w:type="dxa" w:w="100"/>
              <w:bottom w:type="dxa" w:w="60"/>
              <w:right w:type="dxa" w:w="100"/>
            </w:tcMar>
            <w:vAlign w:val="center"/>
          </w:tcPr>
          <w:p>
            <w:r>
              <w:rPr>
                <w:b/>
                <w:bCs/>
                <w:color w:val="FFFFFF"/>
                <w:sz w:val="19"/>
                <w:szCs w:val="19"/>
              </w:rPr>
              <w:t xml:space="preserve">What we built</w:t>
            </w:r>
          </w:p>
        </w:tc>
      </w:tr>
      <w:tr>
        <w:tc>
          <w:tcPr>
            <w:tcW w:type="dxa" w:w="2600"/>
            <w:tcMar>
              <w:top w:type="dxa" w:w="60"/>
              <w:left w:type="dxa" w:w="100"/>
              <w:bottom w:type="dxa" w:w="60"/>
              <w:right w:type="dxa" w:w="100"/>
            </w:tcMar>
            <w:vAlign w:val="center"/>
          </w:tcPr>
          <w:p>
            <w:r>
              <w:rPr>
                <w:b w:val="false"/>
                <w:bCs w:val="false"/>
                <w:sz w:val="19"/>
                <w:szCs w:val="19"/>
              </w:rPr>
              <w:t xml:space="preserve">Load time</w:t>
            </w:r>
          </w:p>
        </w:tc>
        <w:tc>
          <w:tcPr>
            <w:tcW w:type="dxa" w:w="3200"/>
            <w:tcMar>
              <w:top w:type="dxa" w:w="60"/>
              <w:left w:type="dxa" w:w="100"/>
              <w:bottom w:type="dxa" w:w="60"/>
              <w:right w:type="dxa" w:w="100"/>
            </w:tcMar>
            <w:vAlign w:val="center"/>
          </w:tcPr>
          <w:p>
            <w:r>
              <w:rPr>
                <w:b w:val="false"/>
                <w:bCs w:val="false"/>
                <w:sz w:val="19"/>
                <w:szCs w:val="19"/>
              </w:rPr>
              <w:t xml:space="preserve">seconds to minutes (154M rows)</w:t>
            </w:r>
          </w:p>
        </w:tc>
        <w:tc>
          <w:tcPr>
            <w:tcW w:type="dxa" w:w="3200"/>
            <w:tcMar>
              <w:top w:type="dxa" w:w="60"/>
              <w:left w:type="dxa" w:w="100"/>
              <w:bottom w:type="dxa" w:w="60"/>
              <w:right w:type="dxa" w:w="100"/>
            </w:tcMar>
            <w:vAlign w:val="center"/>
          </w:tcPr>
          <w:p>
            <w:r>
              <w:rPr>
                <w:b w:val="false"/>
                <w:bCs w:val="false"/>
                <w:sz w:val="19"/>
                <w:szCs w:val="19"/>
              </w:rPr>
              <w:t xml:space="preserve">instant</w:t>
            </w:r>
          </w:p>
        </w:tc>
      </w:tr>
      <w:tr>
        <w:tc>
          <w:tcPr>
            <w:tcW w:type="dxa" w:w="2600"/>
            <w:tcMar>
              <w:top w:type="dxa" w:w="60"/>
              <w:left w:type="dxa" w:w="100"/>
              <w:bottom w:type="dxa" w:w="60"/>
              <w:right w:type="dxa" w:w="100"/>
            </w:tcMar>
            <w:vAlign w:val="center"/>
          </w:tcPr>
          <w:p>
            <w:r>
              <w:rPr>
                <w:b w:val="false"/>
                <w:bCs w:val="false"/>
                <w:sz w:val="19"/>
                <w:szCs w:val="19"/>
              </w:rPr>
              <w:t xml:space="preserve">Needs the cluster up?</w:t>
            </w:r>
          </w:p>
        </w:tc>
        <w:tc>
          <w:tcPr>
            <w:tcW w:type="dxa" w:w="3200"/>
            <w:tcMar>
              <w:top w:type="dxa" w:w="60"/>
              <w:left w:type="dxa" w:w="100"/>
              <w:bottom w:type="dxa" w:w="60"/>
              <w:right w:type="dxa" w:w="100"/>
            </w:tcMar>
            <w:vAlign w:val="center"/>
          </w:tcPr>
          <w:p>
            <w:r>
              <w:rPr>
                <w:b w:val="false"/>
                <w:bCs w:val="false"/>
                <w:sz w:val="19"/>
                <w:szCs w:val="19"/>
              </w:rPr>
              <w:t xml:space="preserve">always</w:t>
            </w:r>
          </w:p>
        </w:tc>
        <w:tc>
          <w:tcPr>
            <w:tcW w:type="dxa" w:w="3200"/>
            <w:tcMar>
              <w:top w:type="dxa" w:w="60"/>
              <w:left w:type="dxa" w:w="100"/>
              <w:bottom w:type="dxa" w:w="60"/>
              <w:right w:type="dxa" w:w="100"/>
            </w:tcMar>
            <w:vAlign w:val="center"/>
          </w:tcPr>
          <w:p>
            <w:r>
              <w:rPr>
                <w:b w:val="false"/>
                <w:bCs w:val="false"/>
                <w:sz w:val="19"/>
                <w:szCs w:val="19"/>
              </w:rPr>
              <w:t xml:space="preserve">no</w:t>
            </w:r>
          </w:p>
        </w:tc>
      </w:tr>
      <w:tr>
        <w:tc>
          <w:tcPr>
            <w:tcW w:type="dxa" w:w="2600"/>
            <w:tcMar>
              <w:top w:type="dxa" w:w="60"/>
              <w:left w:type="dxa" w:w="100"/>
              <w:bottom w:type="dxa" w:w="60"/>
              <w:right w:type="dxa" w:w="100"/>
            </w:tcMar>
            <w:vAlign w:val="center"/>
          </w:tcPr>
          <w:p>
            <w:r>
              <w:rPr>
                <w:b w:val="false"/>
                <w:bCs w:val="false"/>
                <w:sz w:val="19"/>
                <w:szCs w:val="19"/>
              </w:rPr>
              <w:t xml:space="preserve">Works offline?</w:t>
            </w:r>
          </w:p>
        </w:tc>
        <w:tc>
          <w:tcPr>
            <w:tcW w:type="dxa" w:w="3200"/>
            <w:tcMar>
              <w:top w:type="dxa" w:w="60"/>
              <w:left w:type="dxa" w:w="100"/>
              <w:bottom w:type="dxa" w:w="60"/>
              <w:right w:type="dxa" w:w="100"/>
            </w:tcMar>
            <w:vAlign w:val="center"/>
          </w:tcPr>
          <w:p>
            <w:r>
              <w:rPr>
                <w:b w:val="false"/>
                <w:bCs w:val="false"/>
                <w:sz w:val="19"/>
                <w:szCs w:val="19"/>
              </w:rPr>
              <w:t xml:space="preserve">no</w:t>
            </w:r>
          </w:p>
        </w:tc>
        <w:tc>
          <w:tcPr>
            <w:tcW w:type="dxa" w:w="3200"/>
            <w:tcMar>
              <w:top w:type="dxa" w:w="60"/>
              <w:left w:type="dxa" w:w="100"/>
              <w:bottom w:type="dxa" w:w="60"/>
              <w:right w:type="dxa" w:w="100"/>
            </w:tcMar>
            <w:vAlign w:val="center"/>
          </w:tcPr>
          <w:p>
            <w:r>
              <w:rPr>
                <w:b w:val="false"/>
                <w:bCs w:val="false"/>
                <w:sz w:val="19"/>
                <w:szCs w:val="19"/>
              </w:rPr>
              <w:t xml:space="preserve">yes</w:t>
            </w:r>
          </w:p>
        </w:tc>
      </w:tr>
      <w:tr>
        <w:tc>
          <w:tcPr>
            <w:tcW w:type="dxa" w:w="2600"/>
            <w:tcMar>
              <w:top w:type="dxa" w:w="60"/>
              <w:left w:type="dxa" w:w="100"/>
              <w:bottom w:type="dxa" w:w="60"/>
              <w:right w:type="dxa" w:w="100"/>
            </w:tcMar>
            <w:vAlign w:val="center"/>
          </w:tcPr>
          <w:p>
            <w:r>
              <w:rPr>
                <w:b w:val="false"/>
                <w:bCs w:val="false"/>
                <w:sz w:val="19"/>
                <w:szCs w:val="19"/>
              </w:rPr>
              <w:t xml:space="preserve">Survives Docker off?</w:t>
            </w:r>
          </w:p>
        </w:tc>
        <w:tc>
          <w:tcPr>
            <w:tcW w:type="dxa" w:w="3200"/>
            <w:tcMar>
              <w:top w:type="dxa" w:w="60"/>
              <w:left w:type="dxa" w:w="100"/>
              <w:bottom w:type="dxa" w:w="60"/>
              <w:right w:type="dxa" w:w="100"/>
            </w:tcMar>
            <w:vAlign w:val="center"/>
          </w:tcPr>
          <w:p>
            <w:r>
              <w:rPr>
                <w:b w:val="false"/>
                <w:bCs w:val="false"/>
                <w:sz w:val="19"/>
                <w:szCs w:val="19"/>
              </w:rPr>
              <w:t xml:space="preserve">no</w:t>
            </w:r>
          </w:p>
        </w:tc>
        <w:tc>
          <w:tcPr>
            <w:tcW w:type="dxa" w:w="3200"/>
            <w:tcMar>
              <w:top w:type="dxa" w:w="60"/>
              <w:left w:type="dxa" w:w="100"/>
              <w:bottom w:type="dxa" w:w="60"/>
              <w:right w:type="dxa" w:w="100"/>
            </w:tcMar>
            <w:vAlign w:val="center"/>
          </w:tcPr>
          <w:p>
            <w:r>
              <w:rPr>
                <w:b w:val="false"/>
                <w:bCs w:val="false"/>
                <w:sz w:val="19"/>
                <w:szCs w:val="19"/>
              </w:rPr>
              <w:t xml:space="preserve">yes</w:t>
            </w:r>
          </w:p>
        </w:tc>
      </w:tr>
    </w:tbl>
    <w:p>
      <w:pPr>
        <w:spacing w:after="130" w:line="280"/>
      </w:pPr>
      <w:r>
        <w:t xml:space="preserve">This is the standard serving pattern, not a shortcut: the serving layer precomputes, the page renders. A public warning page that dies when the cluster is down is useless.</w:t>
      </w:r>
    </w:p>
    <w:p>
      <w:pPr>
        <w:pStyle w:val="Heading2"/>
        <w:spacing w:after="90" w:before="220"/>
      </w:pPr>
      <w:r>
        <w:t xml:space="preserve">Is it live?</w:t>
      </w:r>
    </w:p>
    <w:p>
      <w:pPr>
        <w:spacing w:after="130" w:line="280"/>
      </w:pPr>
      <w:r>
        <w:rPr>
          <w:b/>
          <w:bCs/>
        </w:rPr>
        <w:t xml:space="preserve">Be precise here, because it is the question most likely to catch you out. </w:t>
      </w:r>
      <w:r>
        <w:t xml:space="preserve">The pipeline is live — it fetches live CAMS and weather data, enriches on YARN, and scores through the streaming engine. The page shows the </w:t>
      </w:r>
    </w:p>
    <w:p>
      <w:pPr>
        <w:spacing w:after="130" w:line="280"/>
      </w:pPr>
      <w:r>
        <w:rPr>
          <w:b/>
          <w:bCs/>
        </w:rPr>
        <w:t xml:space="preserve">most recent completed cycle</w:t>
      </w:r>
      <w:r>
        <w:t xml:space="preserve">, not a feed refreshing every second. Refreshing it is one command: python scripts/run_daily_live_cycle.py --all, which re-fetches, re-enriches, re-scores and rebuilds the page. It is designed to be scheduled daily.</w:t>
      </w:r>
    </w:p>
    <w:p>
      <w:pPr>
        <w:pBdr>
          <w:left w:val="single" w:color="0E7C86" w:sz="14" w:space="10"/>
        </w:pBdr>
        <w:spacing w:after="120" w:line="290"/>
        <w:ind w:left="360"/>
      </w:pPr>
      <w:r>
        <w:rPr>
          <w:i/>
          <w:iCs/>
          <w:color w:val="1B2430"/>
        </w:rPr>
        <w:t xml:space="preserve">Honest phrasing to use: “The data pipeline is live. The page is a published snapshot of the latest run, refreshed by a scheduled job — the same way any production dashboard works.”</w:t>
      </w:r>
    </w:p>
    <w:p>
      <w:r>
        <w:br w:type="page"/>
      </w:r>
    </w:p>
    <w:p>
      <w:pPr>
        <w:pStyle w:val="Heading1"/>
        <w:spacing w:after="140" w:before="320"/>
      </w:pPr>
      <w:r>
        <w:t xml:space="preserve">4. Inch-by-inch walkthrough of the screen</w:t>
      </w:r>
    </w:p>
    <w:p>
      <w:pPr>
        <w:spacing w:after="130" w:line="280"/>
      </w:pPr>
      <w:r>
        <w:rPr>
          <w:color w:val="46525F"/>
          <w:sz w:val="19"/>
          <w:szCs w:val="19"/>
        </w:rPr>
        <w:t xml:space="preserve">Top to bottom, what each part is and what to say while pointing at it.</w:t>
      </w:r>
    </w:p>
    <w:p>
      <w:pPr>
        <w:pStyle w:val="Heading2"/>
        <w:spacing w:after="90" w:before="220"/>
      </w:pPr>
      <w:r>
        <w:t xml:space="preserve">(a) Header — top left</w:t>
      </w:r>
    </w:p>
    <w:p>
      <w:pPr>
        <w:spacing w:after="130" w:line="280"/>
      </w:pPr>
      <w:r>
        <w:t xml:space="preserve">“AirWatch India · Public air-quality warnings · next-hour forecast · CPCB National AQI”, with the last-updated timestamp on the right.</w:t>
      </w:r>
    </w:p>
    <w:p>
      <w:pPr>
        <w:pBdr>
          <w:left w:val="single" w:color="0E7C86" w:sz="14" w:space="10"/>
        </w:pBdr>
        <w:spacing w:after="120" w:line="290"/>
        <w:ind w:left="360"/>
      </w:pPr>
      <w:r>
        <w:rPr>
          <w:i/>
          <w:iCs/>
          <w:color w:val="1B2430"/>
        </w:rPr>
        <w:t xml:space="preserve">“This is a public warning board. Everything on it is a one-hour-ahead forecast on India's official CPCB AQI scale, not a foreign standard.”</w:t>
      </w:r>
    </w:p>
    <w:p>
      <w:pPr>
        <w:pStyle w:val="Heading2"/>
        <w:spacing w:after="90" w:before="220"/>
      </w:pPr>
      <w:r>
        <w:t xml:space="preserve">(b) The red banner — the headline</w:t>
      </w:r>
    </w:p>
    <w:p>
      <w:pPr>
        <w:spacing w:after="130" w:line="280"/>
      </w:pPr>
      <w:r>
        <w:t xml:space="preserve">A large number, the sentence “cities under an air-quality warning”, the total warnings issued, and on the right the worst city with its band and cause.</w:t>
      </w:r>
    </w:p>
    <w:p>
      <w:pPr>
        <w:pBdr>
          <w:left w:val="single" w:color="0E7C86" w:sz="14" w:space="10"/>
        </w:pBdr>
        <w:spacing w:after="120" w:line="290"/>
        <w:ind w:left="360"/>
      </w:pPr>
      <w:r>
        <w:rPr>
          <w:i/>
          <w:iCs/>
          <w:color w:val="1B2430"/>
        </w:rPr>
        <w:t xml:space="preserve">“Right now 91 cities are under warning — 1,130 warnings issued across the 230 cities we monitor. The worst is Jaisalmer at AQI 500, Severe, caused by coarse dust. That makes sense: it is a desert city.”</w:t>
      </w:r>
    </w:p>
    <w:p>
      <w:pPr>
        <w:pStyle w:val="Heading2"/>
        <w:spacing w:after="90" w:before="220"/>
      </w:pPr>
      <w:r>
        <w:t xml:space="preserve">(c) Search box and filter chips</w:t>
      </w:r>
    </w:p>
    <w:p>
      <w:pPr>
        <w:spacing w:after="130" w:line="280"/>
      </w:pPr>
      <w:r>
        <w:t xml:space="preserve">A “Find your city…” box, then chips: All / Moderate / Poor / Very Poor / Severe, and a count on the right.</w:t>
      </w:r>
    </w:p>
    <w:p>
      <w:pPr>
        <w:pBdr>
          <w:left w:val="single" w:color="0E7C86" w:sz="14" w:space="10"/>
        </w:pBdr>
        <w:spacing w:after="120" w:line="290"/>
        <w:ind w:left="360"/>
      </w:pPr>
      <w:r>
        <w:rPr>
          <w:i/>
          <w:iCs/>
          <w:color w:val="1B2430"/>
        </w:rPr>
        <w:t xml:space="preserve">“A resident does not care about 91 cities — they care about theirs. Type a city and you get its warning. The chips filter by severity if you only want the serious ones.”</w:t>
      </w:r>
    </w:p>
    <w:p>
      <w:pPr>
        <w:spacing w:after="130" w:line="280"/>
      </w:pPr>
      <w:r>
        <w:rPr>
          <w:color w:val="46525F"/>
          <w:sz w:val="19"/>
          <w:szCs w:val="19"/>
        </w:rPr>
        <w:t xml:space="preserve">Demo move: type a city name and let them watch the list filter live. Then clear it.</w:t>
      </w:r>
    </w:p>
    <w:p>
      <w:pPr>
        <w:pStyle w:val="Heading2"/>
        <w:spacing w:after="90" w:before="220"/>
      </w:pPr>
      <w:r>
        <w:t xml:space="preserve">(d) The warning cards — the actual product</w:t>
      </w:r>
    </w:p>
    <w:p>
      <w:pPr>
        <w:spacing w:after="130" w:line="280"/>
      </w:pPr>
      <w:r>
        <w:t xml:space="preserve">Each card is the message one city's residents receive. Read one out loud; this is the whole project in one object.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5314B" w:val="clear"/>
            <w:tcMar>
              <w:top w:type="dxa" w:w="60"/>
              <w:left w:type="dxa" w:w="100"/>
              <w:bottom w:type="dxa" w:w="60"/>
              <w:right w:type="dxa" w:w="100"/>
            </w:tcMar>
            <w:vAlign w:val="center"/>
          </w:tcPr>
          <w:p>
            <w:r>
              <w:rPr>
                <w:b/>
                <w:bCs/>
                <w:color w:val="FFFFFF"/>
                <w:sz w:val="19"/>
                <w:szCs w:val="19"/>
              </w:rPr>
              <w:t xml:space="preserve">Part of the card</w:t>
            </w:r>
          </w:p>
        </w:tc>
        <w:tc>
          <w:tcPr>
            <w:tcW w:type="dxa" w:w="6400"/>
            <w:shd w:fill="15314B" w:val="clear"/>
            <w:tcMar>
              <w:top w:type="dxa" w:w="60"/>
              <w:left w:type="dxa" w:w="100"/>
              <w:bottom w:type="dxa" w:w="60"/>
              <w:right w:type="dxa" w:w="100"/>
            </w:tcMar>
            <w:vAlign w:val="center"/>
          </w:tcPr>
          <w:p>
            <w:r>
              <w:rPr>
                <w:b/>
                <w:bCs/>
                <w:color w:val="FFFFFF"/>
                <w:sz w:val="19"/>
                <w:szCs w:val="19"/>
              </w:rPr>
              <w:t xml:space="preserve">What it is</w:t>
            </w:r>
          </w:p>
        </w:tc>
      </w:tr>
      <w:tr>
        <w:tc>
          <w:tcPr>
            <w:tcW w:type="dxa" w:w="2600"/>
            <w:tcMar>
              <w:top w:type="dxa" w:w="60"/>
              <w:left w:type="dxa" w:w="100"/>
              <w:bottom w:type="dxa" w:w="60"/>
              <w:right w:type="dxa" w:w="100"/>
            </w:tcMar>
            <w:vAlign w:val="center"/>
          </w:tcPr>
          <w:p>
            <w:r>
              <w:rPr>
                <w:b w:val="false"/>
                <w:bCs w:val="false"/>
                <w:sz w:val="19"/>
                <w:szCs w:val="19"/>
              </w:rPr>
              <w:t xml:space="preserve">Coloured top edge + band chip</w:t>
            </w:r>
          </w:p>
        </w:tc>
        <w:tc>
          <w:tcPr>
            <w:tcW w:type="dxa" w:w="6400"/>
            <w:tcMar>
              <w:top w:type="dxa" w:w="60"/>
              <w:left w:type="dxa" w:w="100"/>
              <w:bottom w:type="dxa" w:w="60"/>
              <w:right w:type="dxa" w:w="100"/>
            </w:tcMar>
            <w:vAlign w:val="center"/>
          </w:tcPr>
          <w:p>
            <w:r>
              <w:rPr>
                <w:b w:val="false"/>
                <w:bCs w:val="false"/>
                <w:sz w:val="19"/>
                <w:szCs w:val="19"/>
              </w:rPr>
              <w:t xml:space="preserve">CPCB band colour — Moderate, Poor, Very Poor, Severe</w:t>
            </w:r>
          </w:p>
        </w:tc>
      </w:tr>
      <w:tr>
        <w:tc>
          <w:tcPr>
            <w:tcW w:type="dxa" w:w="2600"/>
            <w:tcMar>
              <w:top w:type="dxa" w:w="60"/>
              <w:left w:type="dxa" w:w="100"/>
              <w:bottom w:type="dxa" w:w="60"/>
              <w:right w:type="dxa" w:w="100"/>
            </w:tcMar>
            <w:vAlign w:val="center"/>
          </w:tcPr>
          <w:p>
            <w:r>
              <w:rPr>
                <w:b w:val="false"/>
                <w:bCs w:val="false"/>
                <w:sz w:val="19"/>
                <w:szCs w:val="19"/>
              </w:rPr>
              <w:t xml:space="preserve">“Warning sent to residents of” + city</w:t>
            </w:r>
          </w:p>
        </w:tc>
        <w:tc>
          <w:tcPr>
            <w:tcW w:type="dxa" w:w="6400"/>
            <w:tcMar>
              <w:top w:type="dxa" w:w="60"/>
              <w:left w:type="dxa" w:w="100"/>
              <w:bottom w:type="dxa" w:w="60"/>
              <w:right w:type="dxa" w:w="100"/>
            </w:tcMar>
            <w:vAlign w:val="center"/>
          </w:tcPr>
          <w:p>
            <w:r>
              <w:rPr>
                <w:b w:val="false"/>
                <w:bCs w:val="false"/>
                <w:sz w:val="19"/>
                <w:szCs w:val="19"/>
              </w:rPr>
              <w:t xml:space="preserve">Who it is for</w:t>
            </w:r>
          </w:p>
        </w:tc>
      </w:tr>
      <w:tr>
        <w:tc>
          <w:tcPr>
            <w:tcW w:type="dxa" w:w="2600"/>
            <w:tcMar>
              <w:top w:type="dxa" w:w="60"/>
              <w:left w:type="dxa" w:w="100"/>
              <w:bottom w:type="dxa" w:w="60"/>
              <w:right w:type="dxa" w:w="100"/>
            </w:tcMar>
            <w:vAlign w:val="center"/>
          </w:tcPr>
          <w:p>
            <w:r>
              <w:rPr>
                <w:b w:val="false"/>
                <w:bCs w:val="false"/>
                <w:sz w:val="19"/>
                <w:szCs w:val="19"/>
              </w:rPr>
              <w:t xml:space="preserve">The lead sentence</w:t>
            </w:r>
          </w:p>
        </w:tc>
        <w:tc>
          <w:tcPr>
            <w:tcW w:type="dxa" w:w="6400"/>
            <w:tcMar>
              <w:top w:type="dxa" w:w="60"/>
              <w:left w:type="dxa" w:w="100"/>
              <w:bottom w:type="dxa" w:w="60"/>
              <w:right w:type="dxa" w:w="100"/>
            </w:tcMar>
            <w:vAlign w:val="center"/>
          </w:tcPr>
          <w:p>
            <w:r>
              <w:rPr>
                <w:b w:val="false"/>
                <w:bCs w:val="false"/>
                <w:sz w:val="19"/>
                <w:szCs w:val="19"/>
              </w:rPr>
              <w:t xml:space="preserve">Forecast AQI, the band, the hour it hits, and the cause</w:t>
            </w:r>
          </w:p>
        </w:tc>
      </w:tr>
      <w:tr>
        <w:tc>
          <w:tcPr>
            <w:tcW w:type="dxa" w:w="2600"/>
            <w:tcMar>
              <w:top w:type="dxa" w:w="60"/>
              <w:left w:type="dxa" w:w="100"/>
              <w:bottom w:type="dxa" w:w="60"/>
              <w:right w:type="dxa" w:w="100"/>
            </w:tcMar>
            <w:vAlign w:val="center"/>
          </w:tcPr>
          <w:p>
            <w:r>
              <w:rPr>
                <w:b w:val="false"/>
                <w:bCs w:val="false"/>
                <w:sz w:val="19"/>
                <w:szCs w:val="19"/>
              </w:rPr>
              <w:t xml:space="preserve">Health line</w:t>
            </w:r>
          </w:p>
        </w:tc>
        <w:tc>
          <w:tcPr>
            <w:tcW w:type="dxa" w:w="6400"/>
            <w:tcMar>
              <w:top w:type="dxa" w:w="60"/>
              <w:left w:type="dxa" w:w="100"/>
              <w:bottom w:type="dxa" w:w="60"/>
              <w:right w:type="dxa" w:w="100"/>
            </w:tcMar>
            <w:vAlign w:val="center"/>
          </w:tcPr>
          <w:p>
            <w:r>
              <w:rPr>
                <w:b w:val="false"/>
                <w:bCs w:val="false"/>
                <w:sz w:val="19"/>
                <w:szCs w:val="19"/>
              </w:rPr>
              <w:t xml:space="preserve">CPCB's own published advisory wording for that band</w:t>
            </w:r>
          </w:p>
        </w:tc>
      </w:tr>
      <w:tr>
        <w:tc>
          <w:tcPr>
            <w:tcW w:type="dxa" w:w="2600"/>
            <w:tcMar>
              <w:top w:type="dxa" w:w="60"/>
              <w:left w:type="dxa" w:w="100"/>
              <w:bottom w:type="dxa" w:w="60"/>
              <w:right w:type="dxa" w:w="100"/>
            </w:tcMar>
            <w:vAlign w:val="center"/>
          </w:tcPr>
          <w:p>
            <w:r>
              <w:rPr>
                <w:b w:val="false"/>
                <w:bCs w:val="false"/>
                <w:sz w:val="19"/>
                <w:szCs w:val="19"/>
              </w:rPr>
              <w:t xml:space="preserve">“What to do”</w:t>
            </w:r>
          </w:p>
        </w:tc>
        <w:tc>
          <w:tcPr>
            <w:tcW w:type="dxa" w:w="6400"/>
            <w:tcMar>
              <w:top w:type="dxa" w:w="60"/>
              <w:left w:type="dxa" w:w="100"/>
              <w:bottom w:type="dxa" w:w="60"/>
              <w:right w:type="dxa" w:w="100"/>
            </w:tcMar>
            <w:vAlign w:val="center"/>
          </w:tcPr>
          <w:p>
            <w:r>
              <w:rPr>
                <w:b w:val="false"/>
                <w:bCs w:val="false"/>
                <w:sz w:val="19"/>
                <w:szCs w:val="19"/>
              </w:rPr>
              <w:t xml:space="preserve">The action, plus a cause-specific tip</w:t>
            </w:r>
          </w:p>
        </w:tc>
      </w:tr>
      <w:tr>
        <w:tc>
          <w:tcPr>
            <w:tcW w:type="dxa" w:w="2600"/>
            <w:tcMar>
              <w:top w:type="dxa" w:w="60"/>
              <w:left w:type="dxa" w:w="100"/>
              <w:bottom w:type="dxa" w:w="60"/>
              <w:right w:type="dxa" w:w="100"/>
            </w:tcMar>
            <w:vAlign w:val="center"/>
          </w:tcPr>
          <w:p>
            <w:r>
              <w:rPr>
                <w:b w:val="false"/>
                <w:bCs w:val="false"/>
                <w:sz w:val="19"/>
                <w:szCs w:val="19"/>
              </w:rPr>
              <w:t xml:space="preserve">Right now / In 1 hour</w:t>
            </w:r>
          </w:p>
        </w:tc>
        <w:tc>
          <w:tcPr>
            <w:tcW w:type="dxa" w:w="6400"/>
            <w:tcMar>
              <w:top w:type="dxa" w:w="60"/>
              <w:left w:type="dxa" w:w="100"/>
              <w:bottom w:type="dxa" w:w="60"/>
              <w:right w:type="dxa" w:w="100"/>
            </w:tcMar>
            <w:vAlign w:val="center"/>
          </w:tcPr>
          <w:p>
            <w:r>
              <w:rPr>
                <w:b w:val="false"/>
                <w:bCs w:val="false"/>
                <w:sz w:val="19"/>
                <w:szCs w:val="19"/>
              </w:rPr>
              <w:t xml:space="preserve">Current PM2.5 beside the forecast AQI — the point of the whole system</w:t>
            </w:r>
          </w:p>
        </w:tc>
      </w:tr>
    </w:tbl>
    <w:p>
      <w:pPr>
        <w:pBdr>
          <w:left w:val="single" w:color="0E7C86" w:sz="14" w:space="10"/>
        </w:pBdr>
        <w:spacing w:after="120" w:line="290"/>
        <w:ind w:left="360"/>
      </w:pPr>
      <w:r>
        <w:rPr>
          <w:i/>
          <w:iCs/>
          <w:color w:val="1B2430"/>
        </w:rPr>
        <w:t xml:space="preserve">“This is the deliverable. Not a chart — a message someone can act on. The health advice is CPCB's own wording for that band, and the tip changes with the cause: for ozone we say avoid midday exertion; for dust we say wear a mask. Those are different actions, and getting that right is why we track the dominant pollutant per alert.”</w:t>
      </w:r>
    </w:p>
    <w:p>
      <w:pPr>
        <w:pStyle w:val="Heading2"/>
        <w:spacing w:after="90" w:before="220"/>
      </w:pPr>
      <w:r>
        <w:t xml:space="preserve">(e) The India map</w:t>
      </w:r>
    </w:p>
    <w:p>
      <w:pPr>
        <w:spacing w:after="130" w:line="280"/>
      </w:pPr>
      <w:r>
        <w:t xml:space="preserve">All 230 monitored cities. Colour is the CPCB band, dot size is PM2.5. Hover gives city, state, exact PM2.5, band and timestamp. The worst cities are labelled, with collision handling so names never stack.</w:t>
      </w:r>
    </w:p>
    <w:p>
      <w:pPr>
        <w:pBdr>
          <w:left w:val="single" w:color="0E7C86" w:sz="14" w:space="10"/>
        </w:pBdr>
        <w:spacing w:after="120" w:line="290"/>
        <w:ind w:left="360"/>
      </w:pPr>
      <w:r>
        <w:rPr>
          <w:i/>
          <w:iCs/>
          <w:color w:val="1B2430"/>
        </w:rPr>
        <w:t xml:space="preserve">“Every monitored city, coloured by band and sized by PM2.5. You can see the Punjab–Haryana–Delhi belt light up while the south stays green — the geography of the problem in one glance. Drawn from the live coordinates in the data, no map library.”</w:t>
      </w:r>
    </w:p>
    <w:p>
      <w:pPr>
        <w:pStyle w:val="Heading2"/>
        <w:spacing w:after="90" w:before="220"/>
      </w:pPr>
      <w:r>
        <w:t xml:space="preserve">(f) Warnings per hour</w:t>
      </w:r>
    </w:p>
    <w:p>
      <w:pPr>
        <w:spacing w:after="130" w:line="280"/>
      </w:pPr>
      <w:r>
        <w:t xml:space="preserve">A bar per forecast hour across the window.</w:t>
      </w:r>
    </w:p>
    <w:p>
      <w:pPr>
        <w:pBdr>
          <w:left w:val="single" w:color="0E7C86" w:sz="14" w:space="10"/>
        </w:pBdr>
        <w:spacing w:after="120" w:line="290"/>
        <w:ind w:left="360"/>
      </w:pPr>
      <w:r>
        <w:rPr>
          <w:i/>
          <w:iCs/>
          <w:color w:val="1B2430"/>
        </w:rPr>
        <w:t xml:space="preserve">“Warnings are not evenly spread — they cluster in specific hours, which is what you would expect if a real physical process is driving them rather than random noise.”</w:t>
      </w:r>
    </w:p>
    <w:p>
      <w:pPr>
        <w:pStyle w:val="Heading2"/>
        <w:spacing w:after="90" w:before="220"/>
      </w:pPr>
      <w:r>
        <w:t xml:space="preserve">(g) What is causing the warnings — the strongest single finding</w:t>
      </w:r>
    </w:p>
    <w:p>
      <w:pPr>
        <w:spacing w:after="130" w:line="280"/>
      </w:pPr>
      <w:r>
        <w:t xml:space="preserve">Horizontal bars: Ozone 82%, Coarse dust 12%, Fine particles 6%, Sulphur dioxide under 1%.</w:t>
      </w:r>
    </w:p>
    <w:p>
      <w:pPr>
        <w:pBdr>
          <w:left w:val="single" w:color="0E7C86" w:sz="14" w:space="10"/>
        </w:pBdr>
        <w:spacing w:after="120" w:line="290"/>
        <w:ind w:left="360"/>
      </w:pPr>
      <w:r>
        <w:rPr>
          <w:i/>
          <w:iCs/>
          <w:color w:val="1B2430"/>
        </w:rPr>
        <w:t xml:space="preserve">“This is the finding I would point to. 82% of current warnings are driven by ozone, not particulates. That is a September photochemical-smog signal — ozone forms in afternoon sunlight. It is only visible because the alert engine records the dominant pollutant for every alert, and it changes the public advice completely: a mask does nothing for ozone. The right advice is to avoid midday exertion.”</w:t>
      </w:r>
    </w:p>
    <w:p>
      <w:pPr>
        <w:pStyle w:val="Heading2"/>
        <w:spacing w:after="90" w:before="220"/>
      </w:pPr>
      <w:r>
        <w:t xml:space="preserve">(h) Strongest warnings table</w:t>
      </w:r>
    </w:p>
    <w:p>
      <w:pPr>
        <w:spacing w:after="130" w:line="280"/>
      </w:pPr>
      <w:r>
        <w:t xml:space="preserve">The top 20 by forecast AQI: city, forecast hour, PM2.5 now, PM2.5 in one hour, forecast AQI, band, cause, and the full message verbatim.</w:t>
      </w:r>
    </w:p>
    <w:p>
      <w:pPr>
        <w:pBdr>
          <w:left w:val="single" w:color="0E7C86" w:sz="14" w:space="10"/>
        </w:pBdr>
        <w:spacing w:after="120" w:line="290"/>
        <w:ind w:left="360"/>
      </w:pPr>
      <w:r>
        <w:rPr>
          <w:i/>
          <w:iCs/>
          <w:color w:val="1B2430"/>
        </w:rPr>
        <w:t xml:space="preserve">“These are the raw messages the streaming engine produced — not rewritten for the presentation. The PM2.5-now column beside PM2.5-in-one-hour is the forecast doing its job.”</w:t>
      </w:r>
    </w:p>
    <w:p>
      <w:pPr>
        <w:pStyle w:val="Heading2"/>
        <w:spacing w:after="90" w:before="220"/>
      </w:pPr>
      <w:r>
        <w:t xml:space="preserve">(i) How these warnings are made</w:t>
      </w:r>
    </w:p>
    <w:p>
      <w:pPr>
        <w:spacing w:after="130" w:line="280"/>
      </w:pPr>
      <w:r>
        <w:t xml:space="preserve">Four tiles: forecast skill (R² 0.891), cities monitored, history behind the model, and the warning threshold.</w:t>
      </w:r>
    </w:p>
    <w:p>
      <w:pPr>
        <w:pBdr>
          <w:left w:val="single" w:color="0E7C86" w:sz="14" w:space="10"/>
        </w:pBdr>
        <w:spacing w:after="120" w:line="290"/>
        <w:ind w:left="360"/>
      </w:pPr>
      <w:r>
        <w:rPr>
          <w:i/>
          <w:iCs/>
          <w:color w:val="1B2430"/>
        </w:rPr>
        <w:t xml:space="preserve">“And this is the honesty panel — the model's skill is on the page itself, next to its output, not hidden in a report.”</w:t>
      </w:r>
    </w:p>
    <w:p>
      <w:r>
        <w:br w:type="page"/>
      </w:r>
    </w:p>
    <w:p>
      <w:pPr>
        <w:pStyle w:val="Heading1"/>
        <w:spacing w:after="140" w:before="320"/>
      </w:pPr>
      <w:r>
        <w:t xml:space="preserve">5. The model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700"/>
        <w:gridCol w:w="1600"/>
      </w:tblGrid>
      <w:tr>
        <w:tc>
          <w:tcPr>
            <w:tcW w:type="dxa" w:w="4200"/>
            <w:shd w:fill="15314B" w:val="clear"/>
            <w:tcMar>
              <w:top w:type="dxa" w:w="60"/>
              <w:left w:type="dxa" w:w="100"/>
              <w:bottom w:type="dxa" w:w="60"/>
              <w:right w:type="dxa" w:w="100"/>
            </w:tcMar>
            <w:vAlign w:val="center"/>
          </w:tcPr>
          <w:p>
            <w:r>
              <w:rPr>
                <w:b/>
                <w:bCs/>
                <w:color w:val="FFFFFF"/>
                <w:sz w:val="19"/>
                <w:szCs w:val="19"/>
              </w:rPr>
              <w:t xml:space="preserve">Real rows only (n = 2,074,569)</w:t>
            </w:r>
          </w:p>
        </w:tc>
        <w:tc>
          <w:tcPr>
            <w:tcW w:type="dxa" w:w="1500"/>
            <w:shd w:fill="15314B" w:val="clear"/>
            <w:tcMar>
              <w:top w:type="dxa" w:w="60"/>
              <w:left w:type="dxa" w:w="100"/>
              <w:bottom w:type="dxa" w:w="60"/>
              <w:right w:type="dxa" w:w="100"/>
            </w:tcMar>
            <w:vAlign w:val="center"/>
          </w:tcPr>
          <w:p>
            <w:r>
              <w:rPr>
                <w:b/>
                <w:bCs/>
                <w:color w:val="FFFFFF"/>
                <w:sz w:val="19"/>
                <w:szCs w:val="19"/>
              </w:rPr>
              <w:t xml:space="preserve">R²</w:t>
            </w:r>
          </w:p>
        </w:tc>
        <w:tc>
          <w:tcPr>
            <w:tcW w:type="dxa" w:w="1700"/>
            <w:shd w:fill="15314B" w:val="clear"/>
            <w:tcMar>
              <w:top w:type="dxa" w:w="60"/>
              <w:left w:type="dxa" w:w="100"/>
              <w:bottom w:type="dxa" w:w="60"/>
              <w:right w:type="dxa" w:w="100"/>
            </w:tcMar>
            <w:vAlign w:val="center"/>
          </w:tcPr>
          <w:p>
            <w:r>
              <w:rPr>
                <w:b/>
                <w:bCs/>
                <w:color w:val="FFFFFF"/>
                <w:sz w:val="19"/>
                <w:szCs w:val="19"/>
              </w:rPr>
              <w:t xml:space="preserve">RMSE</w:t>
            </w:r>
          </w:p>
        </w:tc>
        <w:tc>
          <w:tcPr>
            <w:tcW w:type="dxa" w:w="1600"/>
            <w:shd w:fill="15314B" w:val="clear"/>
            <w:tcMar>
              <w:top w:type="dxa" w:w="60"/>
              <w:left w:type="dxa" w:w="100"/>
              <w:bottom w:type="dxa" w:w="60"/>
              <w:right w:type="dxa" w:w="100"/>
            </w:tcMar>
            <w:vAlign w:val="center"/>
          </w:tcPr>
          <w:p>
            <w:r>
              <w:rPr>
                <w:b/>
                <w:bCs/>
                <w:color w:val="FFFFFF"/>
                <w:sz w:val="19"/>
                <w:szCs w:val="19"/>
              </w:rPr>
              <w:t xml:space="preserve">MAE</w:t>
            </w:r>
          </w:p>
        </w:tc>
      </w:tr>
      <w:tr>
        <w:tc>
          <w:tcPr>
            <w:tcW w:type="dxa" w:w="4200"/>
            <w:tcMar>
              <w:top w:type="dxa" w:w="60"/>
              <w:left w:type="dxa" w:w="100"/>
              <w:bottom w:type="dxa" w:w="60"/>
              <w:right w:type="dxa" w:w="100"/>
            </w:tcMar>
            <w:vAlign w:val="center"/>
          </w:tcPr>
          <w:p>
            <w:r>
              <w:rPr>
                <w:b w:val="false"/>
                <w:bCs w:val="false"/>
                <w:sz w:val="19"/>
                <w:szCs w:val="19"/>
              </w:rPr>
              <w:t xml:space="preserve">Persistence baseline (“next hour = this hour”)</w:t>
            </w:r>
          </w:p>
        </w:tc>
        <w:tc>
          <w:tcPr>
            <w:tcW w:type="dxa" w:w="1500"/>
            <w:tcMar>
              <w:top w:type="dxa" w:w="60"/>
              <w:left w:type="dxa" w:w="100"/>
              <w:bottom w:type="dxa" w:w="60"/>
              <w:right w:type="dxa" w:w="100"/>
            </w:tcMar>
            <w:vAlign w:val="center"/>
          </w:tcPr>
          <w:p>
            <w:r>
              <w:rPr>
                <w:b w:val="false"/>
                <w:bCs w:val="false"/>
                <w:sz w:val="19"/>
                <w:szCs w:val="19"/>
              </w:rPr>
              <w:t xml:space="preserve">0.8587</w:t>
            </w:r>
          </w:p>
        </w:tc>
        <w:tc>
          <w:tcPr>
            <w:tcW w:type="dxa" w:w="1700"/>
            <w:tcMar>
              <w:top w:type="dxa" w:w="60"/>
              <w:left w:type="dxa" w:w="100"/>
              <w:bottom w:type="dxa" w:w="60"/>
              <w:right w:type="dxa" w:w="100"/>
            </w:tcMar>
            <w:vAlign w:val="center"/>
          </w:tcPr>
          <w:p>
            <w:r>
              <w:rPr>
                <w:b w:val="false"/>
                <w:bCs w:val="false"/>
                <w:sz w:val="19"/>
                <w:szCs w:val="19"/>
              </w:rPr>
              <w:t xml:space="preserve">24.831</w:t>
            </w:r>
          </w:p>
        </w:tc>
        <w:tc>
          <w:tcPr>
            <w:tcW w:type="dxa" w:w="1600"/>
            <w:tcMar>
              <w:top w:type="dxa" w:w="60"/>
              <w:left w:type="dxa" w:w="100"/>
              <w:bottom w:type="dxa" w:w="60"/>
              <w:right w:type="dxa" w:w="100"/>
            </w:tcMar>
            <w:vAlign w:val="center"/>
          </w:tcPr>
          <w:p>
            <w:r>
              <w:rPr>
                <w:b w:val="false"/>
                <w:bCs w:val="false"/>
                <w:sz w:val="19"/>
                <w:szCs w:val="19"/>
              </w:rPr>
              <w:t xml:space="preserve">9.937</w:t>
            </w:r>
          </w:p>
        </w:tc>
      </w:tr>
      <w:tr>
        <w:tc>
          <w:tcPr>
            <w:tcW w:type="dxa" w:w="4200"/>
            <w:tcMar>
              <w:top w:type="dxa" w:w="60"/>
              <w:left w:type="dxa" w:w="100"/>
              <w:bottom w:type="dxa" w:w="60"/>
              <w:right w:type="dxa" w:w="100"/>
            </w:tcMar>
            <w:vAlign w:val="center"/>
          </w:tcPr>
          <w:p>
            <w:r>
              <w:rPr>
                <w:b w:val="false"/>
                <w:bCs w:val="false"/>
                <w:sz w:val="19"/>
                <w:szCs w:val="19"/>
              </w:rPr>
              <w:t xml:space="preserve">Our GBT forecaster</w:t>
            </w:r>
          </w:p>
        </w:tc>
        <w:tc>
          <w:tcPr>
            <w:tcW w:type="dxa" w:w="1500"/>
            <w:tcMar>
              <w:top w:type="dxa" w:w="60"/>
              <w:left w:type="dxa" w:w="100"/>
              <w:bottom w:type="dxa" w:w="60"/>
              <w:right w:type="dxa" w:w="100"/>
            </w:tcMar>
            <w:vAlign w:val="center"/>
          </w:tcPr>
          <w:p>
            <w:r>
              <w:rPr>
                <w:b w:val="false"/>
                <w:bCs w:val="false"/>
                <w:sz w:val="19"/>
                <w:szCs w:val="19"/>
              </w:rPr>
              <w:t xml:space="preserve">0.8910</w:t>
            </w:r>
          </w:p>
        </w:tc>
        <w:tc>
          <w:tcPr>
            <w:tcW w:type="dxa" w:w="1700"/>
            <w:tcMar>
              <w:top w:type="dxa" w:w="60"/>
              <w:left w:type="dxa" w:w="100"/>
              <w:bottom w:type="dxa" w:w="60"/>
              <w:right w:type="dxa" w:w="100"/>
            </w:tcMar>
            <w:vAlign w:val="center"/>
          </w:tcPr>
          <w:p>
            <w:r>
              <w:rPr>
                <w:b w:val="false"/>
                <w:bCs w:val="false"/>
                <w:sz w:val="19"/>
                <w:szCs w:val="19"/>
              </w:rPr>
              <w:t xml:space="preserve">21.806</w:t>
            </w:r>
          </w:p>
        </w:tc>
        <w:tc>
          <w:tcPr>
            <w:tcW w:type="dxa" w:w="1600"/>
            <w:tcMar>
              <w:top w:type="dxa" w:w="60"/>
              <w:left w:type="dxa" w:w="100"/>
              <w:bottom w:type="dxa" w:w="60"/>
              <w:right w:type="dxa" w:w="100"/>
            </w:tcMar>
            <w:vAlign w:val="center"/>
          </w:tcPr>
          <w:p>
            <w:r>
              <w:rPr>
                <w:b w:val="false"/>
                <w:bCs w:val="false"/>
                <w:sz w:val="19"/>
                <w:szCs w:val="19"/>
              </w:rPr>
              <w:t xml:space="preserve">8.926</w:t>
            </w:r>
          </w:p>
        </w:tc>
      </w:tr>
      <w:tr>
        <w:tc>
          <w:tcPr>
            <w:tcW w:type="dxa" w:w="4200"/>
            <w:shd w:fill="EAF2F4" w:val="clear"/>
            <w:tcMar>
              <w:top w:type="dxa" w:w="60"/>
              <w:left w:type="dxa" w:w="100"/>
              <w:bottom w:type="dxa" w:w="60"/>
              <w:right w:type="dxa" w:w="100"/>
            </w:tcMar>
            <w:vAlign w:val="center"/>
          </w:tcPr>
          <w:p>
            <w:r>
              <w:rPr>
                <w:b/>
                <w:bCs/>
                <w:sz w:val="19"/>
                <w:szCs w:val="19"/>
              </w:rPr>
              <w:t xml:space="preserve">Improvement</w:t>
            </w:r>
          </w:p>
        </w:tc>
        <w:tc>
          <w:tcPr>
            <w:tcW w:type="dxa" w:w="1500"/>
            <w:shd w:fill="EAF2F4" w:val="clear"/>
            <w:tcMar>
              <w:top w:type="dxa" w:w="60"/>
              <w:left w:type="dxa" w:w="100"/>
              <w:bottom w:type="dxa" w:w="60"/>
              <w:right w:type="dxa" w:w="100"/>
            </w:tcMar>
            <w:vAlign w:val="center"/>
          </w:tcPr>
          <w:p>
            <w:r>
              <w:rPr>
                <w:b/>
                <w:bCs/>
                <w:sz w:val="19"/>
                <w:szCs w:val="19"/>
              </w:rPr>
              <w:t xml:space="preserve">+0.0323</w:t>
            </w:r>
          </w:p>
        </w:tc>
        <w:tc>
          <w:tcPr>
            <w:tcW w:type="dxa" w:w="1700"/>
            <w:shd w:fill="EAF2F4" w:val="clear"/>
            <w:tcMar>
              <w:top w:type="dxa" w:w="60"/>
              <w:left w:type="dxa" w:w="100"/>
              <w:bottom w:type="dxa" w:w="60"/>
              <w:right w:type="dxa" w:w="100"/>
            </w:tcMar>
            <w:vAlign w:val="center"/>
          </w:tcPr>
          <w:p>
            <w:r>
              <w:rPr>
                <w:b/>
                <w:bCs/>
                <w:sz w:val="19"/>
                <w:szCs w:val="19"/>
              </w:rPr>
              <w:t xml:space="preserve">−12.18%</w:t>
            </w:r>
          </w:p>
        </w:tc>
        <w:tc>
          <w:tcPr>
            <w:tcW w:type="dxa" w:w="1600"/>
            <w:shd w:fill="EAF2F4" w:val="clear"/>
            <w:tcMar>
              <w:top w:type="dxa" w:w="60"/>
              <w:left w:type="dxa" w:w="100"/>
              <w:bottom w:type="dxa" w:w="60"/>
              <w:right w:type="dxa" w:w="100"/>
            </w:tcMar>
            <w:vAlign w:val="center"/>
          </w:tcPr>
          <w:p>
            <w:r>
              <w:rPr>
                <w:b/>
                <w:bCs/>
                <w:sz w:val="19"/>
                <w:szCs w:val="19"/>
              </w:rPr>
              <w:t xml:space="preserve">−1.011</w:t>
            </w:r>
          </w:p>
        </w:tc>
      </w:tr>
    </w:tbl>
    <w:p>
      <w:pPr>
        <w:spacing w:after="130" w:line="280"/>
      </w:pPr>
      <w:r>
        <w:t xml:space="preserve"/>
      </w:r>
    </w:p>
    <w:p>
      <w:pPr>
        <w:pStyle w:val="ListParagraph"/>
        <w:numPr>
          <w:ilvl w:val="0"/>
          <w:numId w:val="1"/>
        </w:numPr>
        <w:spacing w:after="80" w:line="275"/>
      </w:pPr>
      <w:r>
        <w:t xml:space="preserve">R² 0.8910 — the model explains 89.1% of what happens to next-hour PM2.5.</w:t>
      </w:r>
    </w:p>
    <w:p>
      <w:pPr>
        <w:pStyle w:val="ListParagraph"/>
        <w:numPr>
          <w:ilvl w:val="0"/>
          <w:numId w:val="1"/>
        </w:numPr>
        <w:spacing w:after="80" w:line="275"/>
      </w:pPr>
      <w:r>
        <w:t xml:space="preserve">RMSE 21.8 — a typical miss of about 22 µg/m³.</w:t>
      </w:r>
    </w:p>
    <w:p>
      <w:pPr>
        <w:pStyle w:val="ListParagraph"/>
        <w:numPr>
          <w:ilvl w:val="0"/>
          <w:numId w:val="1"/>
        </w:numPr>
        <w:spacing w:after="80" w:line="275"/>
      </w:pPr>
      <w:r>
        <w:t xml:space="preserve">MAE 8.9 — the usual miss is under 9; RMSE is higher because rare spikes pull it up.</w:t>
      </w:r>
    </w:p>
    <w:p>
      <w:pPr>
        <w:spacing w:after="130" w:line="280"/>
      </w:pPr>
      <w:r>
        <w:rPr>
          <w:b/>
          <w:bCs/>
        </w:rPr>
        <w:t xml:space="preserve">Why the comparison matters more than the number. </w:t>
      </w:r>
      <w:r>
        <w:t xml:space="preserve">Pollution changes slowly, so “assume next hour equals this hour” already scores 0.8587. A model that cannot beat that has learned nothing. We beat it by 12.18% lower error, and our own training script prints *** FAIL *** and refuses the run if we do not.</w:t>
      </w:r>
    </w:p>
    <w:p>
      <w:pPr>
        <w:spacing w:after="130" w:line="280"/>
      </w:pPr>
      <w:r>
        <w:rPr>
          <w:color w:val="46525F"/>
          <w:sz w:val="19"/>
          <w:szCs w:val="19"/>
        </w:rPr>
        <w:t xml:space="preserve">Setup: 300 trees, depth 6, 241 cities, 5 h 50 m of training. Scored on 18,671,121 test rows, not sampled. We quote the 2,074,569 real-only rows because synthetic rows are easier to predict and a blended figure would flatter us.</w:t>
      </w:r>
    </w:p>
    <w:p>
      <w:pPr>
        <w:pStyle w:val="Heading1"/>
        <w:spacing w:after="140" w:before="320"/>
      </w:pPr>
      <w:r>
        <w:t xml:space="preserve">6. What the model actually looks at</w:t>
      </w:r>
    </w:p>
    <w:p>
      <w:pPr>
        <w:spacing w:after="130" w:line="280"/>
      </w:pPr>
      <w:r>
        <w:t xml:space="preserve">86 inputs: 54 numeric features plus 32 one-hot columns for season, weather condition and climate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15314B" w:val="clear"/>
            <w:tcMar>
              <w:top w:type="dxa" w:w="60"/>
              <w:left w:type="dxa" w:w="100"/>
              <w:bottom w:type="dxa" w:w="60"/>
              <w:right w:type="dxa" w:w="100"/>
            </w:tcMar>
            <w:vAlign w:val="center"/>
          </w:tcPr>
          <w:p>
            <w:r>
              <w:rPr>
                <w:b/>
                <w:bCs/>
                <w:color w:val="FFFFFF"/>
                <w:sz w:val="19"/>
                <w:szCs w:val="19"/>
              </w:rPr>
              <w:t xml:space="preserve">Group</w:t>
            </w:r>
          </w:p>
        </w:tc>
        <w:tc>
          <w:tcPr>
            <w:tcW w:type="dxa" w:w="6300"/>
            <w:shd w:fill="15314B" w:val="clear"/>
            <w:tcMar>
              <w:top w:type="dxa" w:w="60"/>
              <w:left w:type="dxa" w:w="100"/>
              <w:bottom w:type="dxa" w:w="60"/>
              <w:right w:type="dxa" w:w="100"/>
            </w:tcMar>
            <w:vAlign w:val="center"/>
          </w:tcPr>
          <w:p>
            <w:r>
              <w:rPr>
                <w:b/>
                <w:bCs/>
                <w:color w:val="FFFFFF"/>
                <w:sz w:val="19"/>
                <w:szCs w:val="19"/>
              </w:rPr>
              <w:t xml:space="preserve">Examples</w:t>
            </w:r>
          </w:p>
        </w:tc>
      </w:tr>
      <w:tr>
        <w:tc>
          <w:tcPr>
            <w:tcW w:type="dxa" w:w="2700"/>
            <w:tcMar>
              <w:top w:type="dxa" w:w="60"/>
              <w:left w:type="dxa" w:w="100"/>
              <w:bottom w:type="dxa" w:w="60"/>
              <w:right w:type="dxa" w:w="100"/>
            </w:tcMar>
            <w:vAlign w:val="center"/>
          </w:tcPr>
          <w:p>
            <w:r>
              <w:rPr>
                <w:b w:val="false"/>
                <w:bCs w:val="false"/>
                <w:sz w:val="19"/>
                <w:szCs w:val="19"/>
              </w:rPr>
              <w:t xml:space="preserve">Pollutants now</w:t>
            </w:r>
          </w:p>
        </w:tc>
        <w:tc>
          <w:tcPr>
            <w:tcW w:type="dxa" w:w="6300"/>
            <w:tcMar>
              <w:top w:type="dxa" w:w="60"/>
              <w:left w:type="dxa" w:w="100"/>
              <w:bottom w:type="dxa" w:w="60"/>
              <w:right w:type="dxa" w:w="100"/>
            </w:tcMar>
            <w:vAlign w:val="center"/>
          </w:tcPr>
          <w:p>
            <w:r>
              <w:rPr>
                <w:b w:val="false"/>
                <w:bCs w:val="false"/>
                <w:sz w:val="19"/>
                <w:szCs w:val="19"/>
              </w:rPr>
              <w:t xml:space="preserve">pm25, pm10, no2, so2, co, o3, nh3, aqi_current</w:t>
            </w:r>
          </w:p>
        </w:tc>
      </w:tr>
      <w:tr>
        <w:tc>
          <w:tcPr>
            <w:tcW w:type="dxa" w:w="2700"/>
            <w:tcMar>
              <w:top w:type="dxa" w:w="60"/>
              <w:left w:type="dxa" w:w="100"/>
              <w:bottom w:type="dxa" w:w="60"/>
              <w:right w:type="dxa" w:w="100"/>
            </w:tcMar>
            <w:vAlign w:val="center"/>
          </w:tcPr>
          <w:p>
            <w:r>
              <w:rPr>
                <w:b w:val="false"/>
                <w:bCs w:val="false"/>
                <w:sz w:val="19"/>
                <w:szCs w:val="19"/>
              </w:rPr>
              <w:t xml:space="preserve">Recent history</w:t>
            </w:r>
          </w:p>
        </w:tc>
        <w:tc>
          <w:tcPr>
            <w:tcW w:type="dxa" w:w="6300"/>
            <w:tcMar>
              <w:top w:type="dxa" w:w="60"/>
              <w:left w:type="dxa" w:w="100"/>
              <w:bottom w:type="dxa" w:w="60"/>
              <w:right w:type="dxa" w:w="100"/>
            </w:tcMar>
            <w:vAlign w:val="center"/>
          </w:tcPr>
          <w:p>
            <w:r>
              <w:rPr>
                <w:b w:val="false"/>
                <w:bCs w:val="false"/>
                <w:sz w:val="19"/>
                <w:szCs w:val="19"/>
              </w:rPr>
              <w:t xml:space="preserve">pm25_lag_1h, pm25_delta_1h, pm25_roll_3h / 6h, pm25_std_6h, pm25_surge_ratio, pm25_avg24h</w:t>
            </w:r>
          </w:p>
        </w:tc>
      </w:tr>
      <w:tr>
        <w:tc>
          <w:tcPr>
            <w:tcW w:type="dxa" w:w="2700"/>
            <w:tcMar>
              <w:top w:type="dxa" w:w="60"/>
              <w:left w:type="dxa" w:w="100"/>
              <w:bottom w:type="dxa" w:w="60"/>
              <w:right w:type="dxa" w:w="100"/>
            </w:tcMar>
            <w:vAlign w:val="center"/>
          </w:tcPr>
          <w:p>
            <w:r>
              <w:rPr>
                <w:b w:val="false"/>
                <w:bCs w:val="false"/>
                <w:sz w:val="19"/>
                <w:szCs w:val="19"/>
              </w:rPr>
              <w:t xml:space="preserve">Weather</w:t>
            </w:r>
          </w:p>
        </w:tc>
        <w:tc>
          <w:tcPr>
            <w:tcW w:type="dxa" w:w="6300"/>
            <w:tcMar>
              <w:top w:type="dxa" w:w="60"/>
              <w:left w:type="dxa" w:w="100"/>
              <w:bottom w:type="dxa" w:w="60"/>
              <w:right w:type="dxa" w:w="100"/>
            </w:tcMar>
            <w:vAlign w:val="center"/>
          </w:tcPr>
          <w:p>
            <w:r>
              <w:rPr>
                <w:b w:val="false"/>
                <w:bCs w:val="false"/>
                <w:sz w:val="19"/>
                <w:szCs w:val="19"/>
              </w:rPr>
              <w:t xml:space="preserve">temperature, humidity, wind speed, wind direction (sin/cos), rainfall, pressure, solar radiation</w:t>
            </w:r>
          </w:p>
        </w:tc>
      </w:tr>
      <w:tr>
        <w:tc>
          <w:tcPr>
            <w:tcW w:type="dxa" w:w="2700"/>
            <w:tcMar>
              <w:top w:type="dxa" w:w="60"/>
              <w:left w:type="dxa" w:w="100"/>
              <w:bottom w:type="dxa" w:w="60"/>
              <w:right w:type="dxa" w:w="100"/>
            </w:tcMar>
            <w:vAlign w:val="center"/>
          </w:tcPr>
          <w:p>
            <w:r>
              <w:rPr>
                <w:b w:val="false"/>
                <w:bCs w:val="false"/>
                <w:sz w:val="19"/>
                <w:szCs w:val="19"/>
              </w:rPr>
              <w:t xml:space="preserve">Physics</w:t>
            </w:r>
          </w:p>
        </w:tc>
        <w:tc>
          <w:tcPr>
            <w:tcW w:type="dxa" w:w="6300"/>
            <w:tcMar>
              <w:top w:type="dxa" w:w="60"/>
              <w:left w:type="dxa" w:w="100"/>
              <w:bottom w:type="dxa" w:w="60"/>
              <w:right w:type="dxa" w:w="100"/>
            </w:tcMar>
            <w:vAlign w:val="center"/>
          </w:tcPr>
          <w:p>
            <w:r>
              <w:rPr>
                <w:b w:val="false"/>
                <w:bCs w:val="false"/>
                <w:sz w:val="19"/>
                <w:szCs w:val="19"/>
              </w:rPr>
              <w:t xml:space="preserve">ventilation_index, scrub_factor, stagnation_index, temp × humidity, is_raining</w:t>
            </w:r>
          </w:p>
        </w:tc>
      </w:tr>
      <w:tr>
        <w:tc>
          <w:tcPr>
            <w:tcW w:type="dxa" w:w="2700"/>
            <w:tcMar>
              <w:top w:type="dxa" w:w="60"/>
              <w:left w:type="dxa" w:w="100"/>
              <w:bottom w:type="dxa" w:w="60"/>
              <w:right w:type="dxa" w:w="100"/>
            </w:tcMar>
            <w:vAlign w:val="center"/>
          </w:tcPr>
          <w:p>
            <w:r>
              <w:rPr>
                <w:b w:val="false"/>
                <w:bCs w:val="false"/>
                <w:sz w:val="19"/>
                <w:szCs w:val="19"/>
              </w:rPr>
              <w:t xml:space="preserve">Time and traffic</w:t>
            </w:r>
          </w:p>
        </w:tc>
        <w:tc>
          <w:tcPr>
            <w:tcW w:type="dxa" w:w="6300"/>
            <w:tcMar>
              <w:top w:type="dxa" w:w="60"/>
              <w:left w:type="dxa" w:w="100"/>
              <w:bottom w:type="dxa" w:w="60"/>
              <w:right w:type="dxa" w:w="100"/>
            </w:tcMar>
            <w:vAlign w:val="center"/>
          </w:tcPr>
          <w:p>
            <w:r>
              <w:rPr>
                <w:b w:val="false"/>
                <w:bCs w:val="false"/>
                <w:sz w:val="19"/>
                <w:szCs w:val="19"/>
              </w:rPr>
              <w:t xml:space="preserve">hour / month / day-of-week as sin-cos pairs, is_weekend, traffic_index, is_rush_hour</w:t>
            </w:r>
          </w:p>
        </w:tc>
      </w:tr>
      <w:tr>
        <w:tc>
          <w:tcPr>
            <w:tcW w:type="dxa" w:w="2700"/>
            <w:tcMar>
              <w:top w:type="dxa" w:w="60"/>
              <w:left w:type="dxa" w:w="100"/>
              <w:bottom w:type="dxa" w:w="60"/>
              <w:right w:type="dxa" w:w="100"/>
            </w:tcMar>
            <w:vAlign w:val="center"/>
          </w:tcPr>
          <w:p>
            <w:r>
              <w:rPr>
                <w:b w:val="false"/>
                <w:bCs w:val="false"/>
                <w:sz w:val="19"/>
                <w:szCs w:val="19"/>
              </w:rPr>
              <w:t xml:space="preserve">City</w:t>
            </w:r>
          </w:p>
        </w:tc>
        <w:tc>
          <w:tcPr>
            <w:tcW w:type="dxa" w:w="6300"/>
            <w:tcMar>
              <w:top w:type="dxa" w:w="60"/>
              <w:left w:type="dxa" w:w="100"/>
              <w:bottom w:type="dxa" w:w="60"/>
              <w:right w:type="dxa" w:w="100"/>
            </w:tcMar>
            <w:vAlign w:val="center"/>
          </w:tcPr>
          <w:p>
            <w:r>
              <w:rPr>
                <w:b w:val="false"/>
                <w:bCs w:val="false"/>
                <w:sz w:val="19"/>
                <w:szCs w:val="19"/>
              </w:rPr>
              <w:t xml:space="preserve">urbanization_index, climate_type, season</w:t>
            </w:r>
          </w:p>
        </w:tc>
      </w:tr>
      <w:tr>
        <w:tc>
          <w:tcPr>
            <w:tcW w:type="dxa" w:w="2700"/>
            <w:tcMar>
              <w:top w:type="dxa" w:w="60"/>
              <w:left w:type="dxa" w:w="100"/>
              <w:bottom w:type="dxa" w:w="60"/>
              <w:right w:type="dxa" w:w="100"/>
            </w:tcMar>
            <w:vAlign w:val="center"/>
          </w:tcPr>
          <w:p>
            <w:r>
              <w:rPr>
                <w:b w:val="false"/>
                <w:bCs w:val="false"/>
                <w:sz w:val="19"/>
                <w:szCs w:val="19"/>
              </w:rPr>
              <w:t xml:space="preserve">Provenance</w:t>
            </w:r>
          </w:p>
        </w:tc>
        <w:tc>
          <w:tcPr>
            <w:tcW w:type="dxa" w:w="6300"/>
            <w:tcMar>
              <w:top w:type="dxa" w:w="60"/>
              <w:left w:type="dxa" w:w="100"/>
              <w:bottom w:type="dxa" w:w="60"/>
              <w:right w:type="dxa" w:w="100"/>
            </w:tcMar>
            <w:vAlign w:val="center"/>
          </w:tcPr>
          <w:p>
            <w:r>
              <w:rPr>
                <w:b w:val="false"/>
                <w:bCs w:val="false"/>
                <w:sz w:val="19"/>
                <w:szCs w:val="19"/>
              </w:rPr>
              <w:t xml:space="preserve">ten *_was_imputed flags — which readings were filled rather than measured</w:t>
            </w:r>
          </w:p>
        </w:tc>
      </w:tr>
    </w:tbl>
    <w:p>
      <w:pPr>
        <w:pStyle w:val="Heading2"/>
        <w:spacing w:after="90" w:before="220"/>
      </w:pPr>
      <w:r>
        <w:t xml:space="preserve">Which ones actually mattered (measured, from the training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00"/>
      </w:tblGrid>
      <w:tr>
        <w:tc>
          <w:tcPr>
            <w:tcW w:type="dxa" w:w="3400"/>
            <w:shd w:fill="15314B" w:val="clear"/>
            <w:tcMar>
              <w:top w:type="dxa" w:w="60"/>
              <w:left w:type="dxa" w:w="100"/>
              <w:bottom w:type="dxa" w:w="60"/>
              <w:right w:type="dxa" w:w="100"/>
            </w:tcMar>
            <w:vAlign w:val="center"/>
          </w:tcPr>
          <w:p>
            <w:r>
              <w:rPr>
                <w:b/>
                <w:bCs/>
                <w:color w:val="FFFFFF"/>
                <w:sz w:val="19"/>
                <w:szCs w:val="19"/>
              </w:rPr>
              <w:t xml:space="preserve">Feature</w:t>
            </w:r>
          </w:p>
        </w:tc>
        <w:tc>
          <w:tcPr>
            <w:tcW w:type="dxa" w:w="1500"/>
            <w:shd w:fill="15314B" w:val="clear"/>
            <w:tcMar>
              <w:top w:type="dxa" w:w="60"/>
              <w:left w:type="dxa" w:w="100"/>
              <w:bottom w:type="dxa" w:w="60"/>
              <w:right w:type="dxa" w:w="100"/>
            </w:tcMar>
            <w:vAlign w:val="center"/>
          </w:tcPr>
          <w:p>
            <w:r>
              <w:rPr>
                <w:b/>
                <w:bCs/>
                <w:color w:val="FFFFFF"/>
                <w:sz w:val="19"/>
                <w:szCs w:val="19"/>
              </w:rPr>
              <w:t xml:space="preserve">Importance</w:t>
            </w:r>
          </w:p>
        </w:tc>
        <w:tc>
          <w:tcPr>
            <w:tcW w:type="dxa" w:w="4100"/>
            <w:shd w:fill="15314B" w:val="clear"/>
            <w:tcMar>
              <w:top w:type="dxa" w:w="60"/>
              <w:left w:type="dxa" w:w="100"/>
              <w:bottom w:type="dxa" w:w="60"/>
              <w:right w:type="dxa" w:w="100"/>
            </w:tcMar>
            <w:vAlign w:val="center"/>
          </w:tcPr>
          <w:p>
            <w:r>
              <w:rPr>
                <w:b/>
                <w:bCs/>
                <w:color w:val="FFFFFF"/>
                <w:sz w:val="19"/>
                <w:szCs w:val="19"/>
              </w:rPr>
              <w:t xml:space="preserve">What it means</w:t>
            </w:r>
          </w:p>
        </w:tc>
      </w:tr>
      <w:tr>
        <w:tc>
          <w:tcPr>
            <w:tcW w:type="dxa" w:w="3400"/>
            <w:tcMar>
              <w:top w:type="dxa" w:w="60"/>
              <w:left w:type="dxa" w:w="100"/>
              <w:bottom w:type="dxa" w:w="60"/>
              <w:right w:type="dxa" w:w="100"/>
            </w:tcMar>
            <w:vAlign w:val="center"/>
          </w:tcPr>
          <w:p>
            <w:r>
              <w:rPr>
                <w:b w:val="false"/>
                <w:bCs w:val="false"/>
                <w:sz w:val="19"/>
                <w:szCs w:val="19"/>
              </w:rPr>
              <w:t xml:space="preserve">pm25 (current)</w:t>
            </w:r>
          </w:p>
        </w:tc>
        <w:tc>
          <w:tcPr>
            <w:tcW w:type="dxa" w:w="1500"/>
            <w:tcMar>
              <w:top w:type="dxa" w:w="60"/>
              <w:left w:type="dxa" w:w="100"/>
              <w:bottom w:type="dxa" w:w="60"/>
              <w:right w:type="dxa" w:w="100"/>
            </w:tcMar>
            <w:vAlign w:val="center"/>
          </w:tcPr>
          <w:p>
            <w:r>
              <w:rPr>
                <w:b w:val="false"/>
                <w:bCs w:val="false"/>
                <w:sz w:val="19"/>
                <w:szCs w:val="19"/>
              </w:rPr>
              <w:t xml:space="preserve">0.101</w:t>
            </w:r>
          </w:p>
        </w:tc>
        <w:tc>
          <w:tcPr>
            <w:tcW w:type="dxa" w:w="4100"/>
            <w:tcMar>
              <w:top w:type="dxa" w:w="60"/>
              <w:left w:type="dxa" w:w="100"/>
              <w:bottom w:type="dxa" w:w="60"/>
              <w:right w:type="dxa" w:w="100"/>
            </w:tcMar>
            <w:vAlign w:val="center"/>
          </w:tcPr>
          <w:p>
            <w:r>
              <w:rPr>
                <w:b w:val="false"/>
                <w:bCs w:val="false"/>
                <w:sz w:val="19"/>
                <w:szCs w:val="19"/>
              </w:rPr>
              <w:t xml:space="preserve">Where you are now is the strongest clue</w:t>
            </w:r>
          </w:p>
        </w:tc>
      </w:tr>
      <w:tr>
        <w:tc>
          <w:tcPr>
            <w:tcW w:type="dxa" w:w="3400"/>
            <w:tcMar>
              <w:top w:type="dxa" w:w="60"/>
              <w:left w:type="dxa" w:w="100"/>
              <w:bottom w:type="dxa" w:w="60"/>
              <w:right w:type="dxa" w:w="100"/>
            </w:tcMar>
            <w:vAlign w:val="center"/>
          </w:tcPr>
          <w:p>
            <w:r>
              <w:rPr>
                <w:b w:val="false"/>
                <w:bCs w:val="false"/>
                <w:sz w:val="19"/>
                <w:szCs w:val="19"/>
              </w:rPr>
              <w:t xml:space="preserve">pm25_delta_1h</w:t>
            </w:r>
          </w:p>
        </w:tc>
        <w:tc>
          <w:tcPr>
            <w:tcW w:type="dxa" w:w="1500"/>
            <w:tcMar>
              <w:top w:type="dxa" w:w="60"/>
              <w:left w:type="dxa" w:w="100"/>
              <w:bottom w:type="dxa" w:w="60"/>
              <w:right w:type="dxa" w:w="100"/>
            </w:tcMar>
            <w:vAlign w:val="center"/>
          </w:tcPr>
          <w:p>
            <w:r>
              <w:rPr>
                <w:b w:val="false"/>
                <w:bCs w:val="false"/>
                <w:sz w:val="19"/>
                <w:szCs w:val="19"/>
              </w:rPr>
              <w:t xml:space="preserve">0.076</w:t>
            </w:r>
          </w:p>
        </w:tc>
        <w:tc>
          <w:tcPr>
            <w:tcW w:type="dxa" w:w="4100"/>
            <w:tcMar>
              <w:top w:type="dxa" w:w="60"/>
              <w:left w:type="dxa" w:w="100"/>
              <w:bottom w:type="dxa" w:w="60"/>
              <w:right w:type="dxa" w:w="100"/>
            </w:tcMar>
            <w:vAlign w:val="center"/>
          </w:tcPr>
          <w:p>
            <w:r>
              <w:rPr>
                <w:b w:val="false"/>
                <w:bCs w:val="false"/>
                <w:sz w:val="19"/>
                <w:szCs w:val="19"/>
              </w:rPr>
              <w:t xml:space="preserve">Whether it is rising or falling</w:t>
            </w:r>
          </w:p>
        </w:tc>
      </w:tr>
      <w:tr>
        <w:tc>
          <w:tcPr>
            <w:tcW w:type="dxa" w:w="3400"/>
            <w:tcMar>
              <w:top w:type="dxa" w:w="60"/>
              <w:left w:type="dxa" w:w="100"/>
              <w:bottom w:type="dxa" w:w="60"/>
              <w:right w:type="dxa" w:w="100"/>
            </w:tcMar>
            <w:vAlign w:val="center"/>
          </w:tcPr>
          <w:p>
            <w:r>
              <w:rPr>
                <w:b w:val="false"/>
                <w:bCs w:val="false"/>
                <w:sz w:val="19"/>
                <w:szCs w:val="19"/>
              </w:rPr>
              <w:t xml:space="preserve">pm25_surge_ratio</w:t>
            </w:r>
          </w:p>
        </w:tc>
        <w:tc>
          <w:tcPr>
            <w:tcW w:type="dxa" w:w="1500"/>
            <w:tcMar>
              <w:top w:type="dxa" w:w="60"/>
              <w:left w:type="dxa" w:w="100"/>
              <w:bottom w:type="dxa" w:w="60"/>
              <w:right w:type="dxa" w:w="100"/>
            </w:tcMar>
            <w:vAlign w:val="center"/>
          </w:tcPr>
          <w:p>
            <w:r>
              <w:rPr>
                <w:b w:val="false"/>
                <w:bCs w:val="false"/>
                <w:sz w:val="19"/>
                <w:szCs w:val="19"/>
              </w:rPr>
              <w:t xml:space="preserve">0.069</w:t>
            </w:r>
          </w:p>
        </w:tc>
        <w:tc>
          <w:tcPr>
            <w:tcW w:type="dxa" w:w="4100"/>
            <w:tcMar>
              <w:top w:type="dxa" w:w="60"/>
              <w:left w:type="dxa" w:w="100"/>
              <w:bottom w:type="dxa" w:w="60"/>
              <w:right w:type="dxa" w:w="100"/>
            </w:tcMar>
            <w:vAlign w:val="center"/>
          </w:tcPr>
          <w:p>
            <w:r>
              <w:rPr>
                <w:b w:val="false"/>
                <w:bCs w:val="false"/>
                <w:sz w:val="19"/>
                <w:szCs w:val="19"/>
              </w:rPr>
              <w:t xml:space="preserve">Whether a spike is under way</w:t>
            </w:r>
          </w:p>
        </w:tc>
      </w:tr>
      <w:tr>
        <w:tc>
          <w:tcPr>
            <w:tcW w:type="dxa" w:w="3400"/>
            <w:tcMar>
              <w:top w:type="dxa" w:w="60"/>
              <w:left w:type="dxa" w:w="100"/>
              <w:bottom w:type="dxa" w:w="60"/>
              <w:right w:type="dxa" w:w="100"/>
            </w:tcMar>
            <w:vAlign w:val="center"/>
          </w:tcPr>
          <w:p>
            <w:r>
              <w:rPr>
                <w:b w:val="false"/>
                <w:bCs w:val="false"/>
                <w:sz w:val="19"/>
                <w:szCs w:val="19"/>
              </w:rPr>
              <w:t xml:space="preserve">pm25_lag_1h</w:t>
            </w:r>
          </w:p>
        </w:tc>
        <w:tc>
          <w:tcPr>
            <w:tcW w:type="dxa" w:w="1500"/>
            <w:tcMar>
              <w:top w:type="dxa" w:w="60"/>
              <w:left w:type="dxa" w:w="100"/>
              <w:bottom w:type="dxa" w:w="60"/>
              <w:right w:type="dxa" w:w="100"/>
            </w:tcMar>
            <w:vAlign w:val="center"/>
          </w:tcPr>
          <w:p>
            <w:r>
              <w:rPr>
                <w:b w:val="false"/>
                <w:bCs w:val="false"/>
                <w:sz w:val="19"/>
                <w:szCs w:val="19"/>
              </w:rPr>
              <w:t xml:space="preserve">0.059</w:t>
            </w:r>
          </w:p>
        </w:tc>
        <w:tc>
          <w:tcPr>
            <w:tcW w:type="dxa" w:w="4100"/>
            <w:tcMar>
              <w:top w:type="dxa" w:w="60"/>
              <w:left w:type="dxa" w:w="100"/>
              <w:bottom w:type="dxa" w:w="60"/>
              <w:right w:type="dxa" w:w="100"/>
            </w:tcMar>
            <w:vAlign w:val="center"/>
          </w:tcPr>
          <w:p>
            <w:r>
              <w:rPr>
                <w:b w:val="false"/>
                <w:bCs w:val="false"/>
                <w:sz w:val="19"/>
                <w:szCs w:val="19"/>
              </w:rPr>
              <w:t xml:space="preserve">The previous hour</w:t>
            </w:r>
          </w:p>
        </w:tc>
      </w:tr>
      <w:tr>
        <w:tc>
          <w:tcPr>
            <w:tcW w:type="dxa" w:w="3400"/>
            <w:tcMar>
              <w:top w:type="dxa" w:w="60"/>
              <w:left w:type="dxa" w:w="100"/>
              <w:bottom w:type="dxa" w:w="60"/>
              <w:right w:type="dxa" w:w="100"/>
            </w:tcMar>
            <w:vAlign w:val="center"/>
          </w:tcPr>
          <w:p>
            <w:r>
              <w:rPr>
                <w:b w:val="false"/>
                <w:bCs w:val="false"/>
                <w:sz w:val="19"/>
                <w:szCs w:val="19"/>
              </w:rPr>
              <w:t xml:space="preserve">pm25_roll_3h</w:t>
            </w:r>
          </w:p>
        </w:tc>
        <w:tc>
          <w:tcPr>
            <w:tcW w:type="dxa" w:w="1500"/>
            <w:tcMar>
              <w:top w:type="dxa" w:w="60"/>
              <w:left w:type="dxa" w:w="100"/>
              <w:bottom w:type="dxa" w:w="60"/>
              <w:right w:type="dxa" w:w="100"/>
            </w:tcMar>
            <w:vAlign w:val="center"/>
          </w:tcPr>
          <w:p>
            <w:r>
              <w:rPr>
                <w:b w:val="false"/>
                <w:bCs w:val="false"/>
                <w:sz w:val="19"/>
                <w:szCs w:val="19"/>
              </w:rPr>
              <w:t xml:space="preserve">0.054</w:t>
            </w:r>
          </w:p>
        </w:tc>
        <w:tc>
          <w:tcPr>
            <w:tcW w:type="dxa" w:w="4100"/>
            <w:tcMar>
              <w:top w:type="dxa" w:w="60"/>
              <w:left w:type="dxa" w:w="100"/>
              <w:bottom w:type="dxa" w:w="60"/>
              <w:right w:type="dxa" w:w="100"/>
            </w:tcMar>
            <w:vAlign w:val="center"/>
          </w:tcPr>
          <w:p>
            <w:r>
              <w:rPr>
                <w:b w:val="false"/>
                <w:bCs w:val="false"/>
                <w:sz w:val="19"/>
                <w:szCs w:val="19"/>
              </w:rPr>
              <w:t xml:space="preserve">The recent trend</w:t>
            </w:r>
          </w:p>
        </w:tc>
      </w:tr>
      <w:tr>
        <w:tc>
          <w:tcPr>
            <w:tcW w:type="dxa" w:w="3400"/>
            <w:tcMar>
              <w:top w:type="dxa" w:w="60"/>
              <w:left w:type="dxa" w:w="100"/>
              <w:bottom w:type="dxa" w:w="60"/>
              <w:right w:type="dxa" w:w="100"/>
            </w:tcMar>
            <w:vAlign w:val="center"/>
          </w:tcPr>
          <w:p>
            <w:r>
              <w:rPr>
                <w:b w:val="false"/>
                <w:bCs w:val="false"/>
                <w:sz w:val="19"/>
                <w:szCs w:val="19"/>
              </w:rPr>
              <w:t xml:space="preserve">pm25_was_imputed</w:t>
            </w:r>
          </w:p>
        </w:tc>
        <w:tc>
          <w:tcPr>
            <w:tcW w:type="dxa" w:w="1500"/>
            <w:tcMar>
              <w:top w:type="dxa" w:w="60"/>
              <w:left w:type="dxa" w:w="100"/>
              <w:bottom w:type="dxa" w:w="60"/>
              <w:right w:type="dxa" w:w="100"/>
            </w:tcMar>
            <w:vAlign w:val="center"/>
          </w:tcPr>
          <w:p>
            <w:r>
              <w:rPr>
                <w:b w:val="false"/>
                <w:bCs w:val="false"/>
                <w:sz w:val="19"/>
                <w:szCs w:val="19"/>
              </w:rPr>
              <w:t xml:space="preserve">0.054</w:t>
            </w:r>
          </w:p>
        </w:tc>
        <w:tc>
          <w:tcPr>
            <w:tcW w:type="dxa" w:w="4100"/>
            <w:tcMar>
              <w:top w:type="dxa" w:w="60"/>
              <w:left w:type="dxa" w:w="100"/>
              <w:bottom w:type="dxa" w:w="60"/>
              <w:right w:type="dxa" w:w="100"/>
            </w:tcMar>
            <w:vAlign w:val="center"/>
          </w:tcPr>
          <w:p>
            <w:r>
              <w:rPr>
                <w:b w:val="false"/>
                <w:bCs w:val="false"/>
                <w:sz w:val="19"/>
                <w:szCs w:val="19"/>
              </w:rPr>
              <w:t xml:space="preserve">Whether this reading was measured or filled</w:t>
            </w:r>
          </w:p>
        </w:tc>
      </w:tr>
      <w:tr>
        <w:tc>
          <w:tcPr>
            <w:tcW w:type="dxa" w:w="3400"/>
            <w:tcMar>
              <w:top w:type="dxa" w:w="60"/>
              <w:left w:type="dxa" w:w="100"/>
              <w:bottom w:type="dxa" w:w="60"/>
              <w:right w:type="dxa" w:w="100"/>
            </w:tcMar>
            <w:vAlign w:val="center"/>
          </w:tcPr>
          <w:p>
            <w:r>
              <w:rPr>
                <w:b w:val="false"/>
                <w:bCs w:val="false"/>
                <w:sz w:val="19"/>
                <w:szCs w:val="19"/>
              </w:rPr>
              <w:t xml:space="preserve">hour_sin / hour_cos</w:t>
            </w:r>
          </w:p>
        </w:tc>
        <w:tc>
          <w:tcPr>
            <w:tcW w:type="dxa" w:w="1500"/>
            <w:tcMar>
              <w:top w:type="dxa" w:w="60"/>
              <w:left w:type="dxa" w:w="100"/>
              <w:bottom w:type="dxa" w:w="60"/>
              <w:right w:type="dxa" w:w="100"/>
            </w:tcMar>
            <w:vAlign w:val="center"/>
          </w:tcPr>
          <w:p>
            <w:r>
              <w:rPr>
                <w:b w:val="false"/>
                <w:bCs w:val="false"/>
                <w:sz w:val="19"/>
                <w:szCs w:val="19"/>
              </w:rPr>
              <w:t xml:space="preserve">0.031 / 0.024</w:t>
            </w:r>
          </w:p>
        </w:tc>
        <w:tc>
          <w:tcPr>
            <w:tcW w:type="dxa" w:w="4100"/>
            <w:tcMar>
              <w:top w:type="dxa" w:w="60"/>
              <w:left w:type="dxa" w:w="100"/>
              <w:bottom w:type="dxa" w:w="60"/>
              <w:right w:type="dxa" w:w="100"/>
            </w:tcMar>
            <w:vAlign w:val="center"/>
          </w:tcPr>
          <w:p>
            <w:r>
              <w:rPr>
                <w:b w:val="false"/>
                <w:bCs w:val="false"/>
                <w:sz w:val="19"/>
                <w:szCs w:val="19"/>
              </w:rPr>
              <w:t xml:space="preserve">Time of day</w:t>
            </w:r>
          </w:p>
        </w:tc>
      </w:tr>
    </w:tbl>
    <w:p>
      <w:pPr>
        <w:spacing w:after="130" w:line="280"/>
      </w:pPr>
      <w:r>
        <w:t xml:space="preserve"/>
      </w:r>
    </w:p>
    <w:p>
      <w:pPr>
        <w:spacing w:after="130" w:line="280"/>
      </w:pPr>
      <w:r>
        <w:rPr>
          <w:b/>
          <w:bCs/>
        </w:rPr>
        <w:t xml:space="preserve">The sixth row is worth pointing at. </w:t>
      </w:r>
      <w:r>
        <w:t xml:space="preserve">pm25_was_imputed — a flag saying “this value was filled in, not measured” — is the sixth most important input out of 86. The model taught itself to discount filled readings. That is direct evidence the decision to flag every imputed value, rather than quietly filling them, was the right one.</w:t>
      </w:r>
    </w:p>
    <w:p>
      <w:pPr>
        <w:pBdr>
          <w:left w:val="single" w:color="0E7C86" w:sz="14" w:space="10"/>
        </w:pBdr>
        <w:spacing w:after="120" w:line="290"/>
        <w:ind w:left="360"/>
      </w:pPr>
      <w:r>
        <w:rPr>
          <w:i/>
          <w:iCs/>
          <w:color w:val="1B2430"/>
        </w:rPr>
        <w:t xml:space="preserve">“The model does not just use the numbers — it uses whether it can trust them.”</w:t>
      </w:r>
    </w:p>
    <w:p>
      <w:r>
        <w:br w:type="page"/>
      </w:r>
    </w:p>
    <w:p>
      <w:pPr>
        <w:pStyle w:val="Heading1"/>
        <w:spacing w:after="140" w:before="320"/>
      </w:pPr>
      <w:r>
        <w:t xml:space="preserve">7. How we proved the dataset is truthful</w:t>
      </w:r>
    </w:p>
    <w:p>
      <w:pPr>
        <w:spacing w:after="130" w:line="280"/>
      </w:pPr>
      <w:r>
        <w:t xml:space="preserve">This is the hardest question we face, because 88.9% of the structured rows are synthetic. Two independent lines of evidence.</w:t>
      </w:r>
    </w:p>
    <w:p>
      <w:pPr>
        <w:pStyle w:val="Heading2"/>
        <w:spacing w:after="90" w:before="220"/>
      </w:pPr>
      <w:r>
        <w:t xml:space="preserve">(a) Five paired statistical tests — scripts/00d_validate_expansion.py</w:t>
      </w:r>
    </w:p>
    <w:p>
      <w:pPr>
        <w:spacing w:after="130" w:line="280"/>
      </w:pPr>
      <w:r>
        <w:t xml:space="preserve">Every synthetic station is compared against its own real parent station, not against an average. The script's header says: treat FAIL as blocking.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00"/>
      </w:tblGrid>
      <w:tr>
        <w:tc>
          <w:tcPr>
            <w:tcW w:type="dxa" w:w="700"/>
            <w:shd w:fill="15314B" w:val="clear"/>
            <w:tcMar>
              <w:top w:type="dxa" w:w="60"/>
              <w:left w:type="dxa" w:w="100"/>
              <w:bottom w:type="dxa" w:w="60"/>
              <w:right w:type="dxa" w:w="100"/>
            </w:tcMar>
            <w:vAlign w:val="center"/>
          </w:tcPr>
          <w:p>
            <w:r>
              <w:rPr>
                <w:b/>
                <w:bCs/>
                <w:color w:val="FFFFFF"/>
                <w:sz w:val="19"/>
                <w:szCs w:val="19"/>
              </w:rPr>
              <w:t xml:space="preserve">#</w:t>
            </w:r>
          </w:p>
        </w:tc>
        <w:tc>
          <w:tcPr>
            <w:tcW w:type="dxa" w:w="2900"/>
            <w:shd w:fill="15314B" w:val="clear"/>
            <w:tcMar>
              <w:top w:type="dxa" w:w="60"/>
              <w:left w:type="dxa" w:w="100"/>
              <w:bottom w:type="dxa" w:w="60"/>
              <w:right w:type="dxa" w:w="100"/>
            </w:tcMar>
            <w:vAlign w:val="center"/>
          </w:tcPr>
          <w:p>
            <w:r>
              <w:rPr>
                <w:b/>
                <w:bCs/>
                <w:color w:val="FFFFFF"/>
                <w:sz w:val="19"/>
                <w:szCs w:val="19"/>
              </w:rPr>
              <w:t xml:space="preserve">Test</w:t>
            </w:r>
          </w:p>
        </w:tc>
        <w:tc>
          <w:tcPr>
            <w:tcW w:type="dxa" w:w="5400"/>
            <w:shd w:fill="15314B" w:val="clear"/>
            <w:tcMar>
              <w:top w:type="dxa" w:w="60"/>
              <w:left w:type="dxa" w:w="100"/>
              <w:bottom w:type="dxa" w:w="60"/>
              <w:right w:type="dxa" w:w="100"/>
            </w:tcMar>
            <w:vAlign w:val="center"/>
          </w:tcPr>
          <w:p>
            <w:r>
              <w:rPr>
                <w:b/>
                <w:bCs/>
                <w:color w:val="FFFFFF"/>
                <w:sz w:val="19"/>
                <w:szCs w:val="19"/>
              </w:rPr>
              <w:t xml:space="preserve">The cheat it catches</w:t>
            </w:r>
          </w:p>
        </w:tc>
      </w:tr>
      <w:tr>
        <w:tc>
          <w:tcPr>
            <w:tcW w:type="dxa" w:w="700"/>
            <w:tcMar>
              <w:top w:type="dxa" w:w="60"/>
              <w:left w:type="dxa" w:w="100"/>
              <w:bottom w:type="dxa" w:w="60"/>
              <w:right w:type="dxa" w:w="100"/>
            </w:tcMar>
            <w:vAlign w:val="center"/>
          </w:tcPr>
          <w:p>
            <w:r>
              <w:rPr>
                <w:b w:val="false"/>
                <w:bCs w:val="false"/>
                <w:sz w:val="19"/>
                <w:szCs w:val="19"/>
              </w:rPr>
              <w:t xml:space="preserve">1</w:t>
            </w:r>
          </w:p>
        </w:tc>
        <w:tc>
          <w:tcPr>
            <w:tcW w:type="dxa" w:w="2900"/>
            <w:tcMar>
              <w:top w:type="dxa" w:w="60"/>
              <w:left w:type="dxa" w:w="100"/>
              <w:bottom w:type="dxa" w:w="60"/>
              <w:right w:type="dxa" w:w="100"/>
            </w:tcMar>
            <w:vAlign w:val="center"/>
          </w:tcPr>
          <w:p>
            <w:r>
              <w:rPr>
                <w:b w:val="false"/>
                <w:bCs w:val="false"/>
                <w:sz w:val="19"/>
                <w:szCs w:val="19"/>
              </w:rPr>
              <w:t xml:space="preserve">Persistence R²</w:t>
            </w:r>
          </w:p>
        </w:tc>
        <w:tc>
          <w:tcPr>
            <w:tcW w:type="dxa" w:w="5400"/>
            <w:tcMar>
              <w:top w:type="dxa" w:w="60"/>
              <w:left w:type="dxa" w:w="100"/>
              <w:bottom w:type="dxa" w:w="60"/>
              <w:right w:type="dxa" w:w="100"/>
            </w:tcMar>
            <w:vAlign w:val="center"/>
          </w:tcPr>
          <w:p>
            <w:r>
              <w:rPr>
                <w:b w:val="false"/>
                <w:bCs w:val="false"/>
                <w:sz w:val="19"/>
                <w:szCs w:val="19"/>
              </w:rPr>
              <w:t xml:space="preserve">THE test. If fake data is easier to predict than real data, every score you report is inflated</w:t>
            </w:r>
          </w:p>
        </w:tc>
      </w:tr>
      <w:tr>
        <w:tc>
          <w:tcPr>
            <w:tcW w:type="dxa" w:w="700"/>
            <w:tcMar>
              <w:top w:type="dxa" w:w="60"/>
              <w:left w:type="dxa" w:w="100"/>
              <w:bottom w:type="dxa" w:w="60"/>
              <w:right w:type="dxa" w:w="100"/>
            </w:tcMar>
            <w:vAlign w:val="center"/>
          </w:tcPr>
          <w:p>
            <w:r>
              <w:rPr>
                <w:b w:val="false"/>
                <w:bCs w:val="false"/>
                <w:sz w:val="19"/>
                <w:szCs w:val="19"/>
              </w:rPr>
              <w:t xml:space="preserve">2</w:t>
            </w:r>
          </w:p>
        </w:tc>
        <w:tc>
          <w:tcPr>
            <w:tcW w:type="dxa" w:w="2900"/>
            <w:tcMar>
              <w:top w:type="dxa" w:w="60"/>
              <w:left w:type="dxa" w:w="100"/>
              <w:bottom w:type="dxa" w:w="60"/>
              <w:right w:type="dxa" w:w="100"/>
            </w:tcMar>
            <w:vAlign w:val="center"/>
          </w:tcPr>
          <w:p>
            <w:r>
              <w:rPr>
                <w:b w:val="false"/>
                <w:bCs w:val="false"/>
                <w:sz w:val="19"/>
                <w:szCs w:val="19"/>
              </w:rPr>
              <w:t xml:space="preserve">Autocorrelation, lags 1–6h</w:t>
            </w:r>
          </w:p>
        </w:tc>
        <w:tc>
          <w:tcPr>
            <w:tcW w:type="dxa" w:w="5400"/>
            <w:tcMar>
              <w:top w:type="dxa" w:w="60"/>
              <w:left w:type="dxa" w:w="100"/>
              <w:bottom w:type="dxa" w:w="60"/>
              <w:right w:type="dxa" w:w="100"/>
            </w:tcMar>
            <w:vAlign w:val="center"/>
          </w:tcPr>
          <w:p>
            <w:r>
              <w:rPr>
                <w:b w:val="false"/>
                <w:bCs w:val="false"/>
                <w:sz w:val="19"/>
                <w:szCs w:val="19"/>
              </w:rPr>
              <w:t xml:space="preserve">Random noise decorrelates; interpolation over-smooths</w:t>
            </w:r>
          </w:p>
        </w:tc>
      </w:tr>
      <w:tr>
        <w:tc>
          <w:tcPr>
            <w:tcW w:type="dxa" w:w="700"/>
            <w:tcMar>
              <w:top w:type="dxa" w:w="60"/>
              <w:left w:type="dxa" w:w="100"/>
              <w:bottom w:type="dxa" w:w="60"/>
              <w:right w:type="dxa" w:w="100"/>
            </w:tcMar>
            <w:vAlign w:val="center"/>
          </w:tcPr>
          <w:p>
            <w:r>
              <w:rPr>
                <w:b w:val="false"/>
                <w:bCs w:val="false"/>
                <w:sz w:val="19"/>
                <w:szCs w:val="19"/>
              </w:rPr>
              <w:t xml:space="preserve">3</w:t>
            </w:r>
          </w:p>
        </w:tc>
        <w:tc>
          <w:tcPr>
            <w:tcW w:type="dxa" w:w="2900"/>
            <w:tcMar>
              <w:top w:type="dxa" w:w="60"/>
              <w:left w:type="dxa" w:w="100"/>
              <w:bottom w:type="dxa" w:w="60"/>
              <w:right w:type="dxa" w:w="100"/>
            </w:tcMar>
            <w:vAlign w:val="center"/>
          </w:tcPr>
          <w:p>
            <w:r>
              <w:rPr>
                <w:b w:val="false"/>
                <w:bCs w:val="false"/>
                <w:sz w:val="19"/>
                <w:szCs w:val="19"/>
              </w:rPr>
              <w:t xml:space="preserve">Marginal quantiles p5–p95</w:t>
            </w:r>
          </w:p>
        </w:tc>
        <w:tc>
          <w:tcPr>
            <w:tcW w:type="dxa" w:w="5400"/>
            <w:tcMar>
              <w:top w:type="dxa" w:w="60"/>
              <w:left w:type="dxa" w:w="100"/>
              <w:bottom w:type="dxa" w:w="60"/>
              <w:right w:type="dxa" w:w="100"/>
            </w:tcMar>
            <w:vAlign w:val="center"/>
          </w:tcPr>
          <w:p>
            <w:r>
              <w:rPr>
                <w:b w:val="false"/>
                <w:bCs w:val="false"/>
                <w:sz w:val="19"/>
                <w:szCs w:val="19"/>
              </w:rPr>
              <w:t xml:space="preserve">Drift and variance inflation</w:t>
            </w:r>
          </w:p>
        </w:tc>
      </w:tr>
      <w:tr>
        <w:tc>
          <w:tcPr>
            <w:tcW w:type="dxa" w:w="700"/>
            <w:tcMar>
              <w:top w:type="dxa" w:w="60"/>
              <w:left w:type="dxa" w:w="100"/>
              <w:bottom w:type="dxa" w:w="60"/>
              <w:right w:type="dxa" w:w="100"/>
            </w:tcMar>
            <w:vAlign w:val="center"/>
          </w:tcPr>
          <w:p>
            <w:r>
              <w:rPr>
                <w:b w:val="false"/>
                <w:bCs w:val="false"/>
                <w:sz w:val="19"/>
                <w:szCs w:val="19"/>
              </w:rPr>
              <w:t xml:space="preserve">4</w:t>
            </w:r>
          </w:p>
        </w:tc>
        <w:tc>
          <w:tcPr>
            <w:tcW w:type="dxa" w:w="2900"/>
            <w:tcMar>
              <w:top w:type="dxa" w:w="60"/>
              <w:left w:type="dxa" w:w="100"/>
              <w:bottom w:type="dxa" w:w="60"/>
              <w:right w:type="dxa" w:w="100"/>
            </w:tcMar>
            <w:vAlign w:val="center"/>
          </w:tcPr>
          <w:p>
            <w:r>
              <w:rPr>
                <w:b w:val="false"/>
                <w:bCs w:val="false"/>
                <w:sz w:val="19"/>
                <w:szCs w:val="19"/>
              </w:rPr>
              <w:t xml:space="preserve">Missingness rate</w:t>
            </w:r>
          </w:p>
        </w:tc>
        <w:tc>
          <w:tcPr>
            <w:tcW w:type="dxa" w:w="5400"/>
            <w:tcMar>
              <w:top w:type="dxa" w:w="60"/>
              <w:left w:type="dxa" w:w="100"/>
              <w:bottom w:type="dxa" w:w="60"/>
              <w:right w:type="dxa" w:w="100"/>
            </w:tcMar>
            <w:vAlign w:val="center"/>
          </w:tcPr>
          <w:p>
            <w:r>
              <w:rPr>
                <w:b w:val="false"/>
                <w:bCs w:val="false"/>
                <w:sz w:val="19"/>
                <w:szCs w:val="19"/>
              </w:rPr>
              <w:t xml:space="preserve">Fake data must be exactly as full of gaps as real data</w:t>
            </w:r>
          </w:p>
        </w:tc>
      </w:tr>
      <w:tr>
        <w:tc>
          <w:tcPr>
            <w:tcW w:type="dxa" w:w="700"/>
            <w:tcMar>
              <w:top w:type="dxa" w:w="60"/>
              <w:left w:type="dxa" w:w="100"/>
              <w:bottom w:type="dxa" w:w="60"/>
              <w:right w:type="dxa" w:w="100"/>
            </w:tcMar>
            <w:vAlign w:val="center"/>
          </w:tcPr>
          <w:p>
            <w:r>
              <w:rPr>
                <w:b w:val="false"/>
                <w:bCs w:val="false"/>
                <w:sz w:val="19"/>
                <w:szCs w:val="19"/>
              </w:rPr>
              <w:t xml:space="preserve">5</w:t>
            </w:r>
          </w:p>
        </w:tc>
        <w:tc>
          <w:tcPr>
            <w:tcW w:type="dxa" w:w="2900"/>
            <w:tcMar>
              <w:top w:type="dxa" w:w="60"/>
              <w:left w:type="dxa" w:w="100"/>
              <w:bottom w:type="dxa" w:w="60"/>
              <w:right w:type="dxa" w:w="100"/>
            </w:tcMar>
            <w:vAlign w:val="center"/>
          </w:tcPr>
          <w:p>
            <w:r>
              <w:rPr>
                <w:b w:val="false"/>
                <w:bCs w:val="false"/>
                <w:sz w:val="19"/>
                <w:szCs w:val="19"/>
              </w:rPr>
              <w:t xml:space="preserve">Cross-correlation pm25~pm10, pm25~no2</w:t>
            </w:r>
          </w:p>
        </w:tc>
        <w:tc>
          <w:tcPr>
            <w:tcW w:type="dxa" w:w="5400"/>
            <w:tcMar>
              <w:top w:type="dxa" w:w="60"/>
              <w:left w:type="dxa" w:w="100"/>
              <w:bottom w:type="dxa" w:w="60"/>
              <w:right w:type="dxa" w:w="100"/>
            </w:tcMar>
            <w:vAlign w:val="center"/>
          </w:tcPr>
          <w:p>
            <w:r>
              <w:rPr>
                <w:b w:val="false"/>
                <w:bCs w:val="false"/>
                <w:sz w:val="19"/>
                <w:szCs w:val="19"/>
              </w:rPr>
              <w:t xml:space="preserve">Per-column noise that destroys relationships between pollutants</w:t>
            </w:r>
          </w:p>
        </w:tc>
      </w:tr>
    </w:tbl>
    <w:p>
      <w:pPr>
        <w:spacing w:after="130" w:line="280"/>
      </w:pPr>
      <w:r>
        <w:t xml:space="preserve"/>
      </w:r>
    </w:p>
    <w:p>
      <w:pPr>
        <w:spacing w:after="130" w:line="280"/>
      </w:pPr>
      <w:r>
        <w:rPr>
          <w:b/>
          <w:bCs/>
        </w:rPr>
        <w:t xml:space="preserve">Why test 1 is the important one. </w:t>
      </w:r>
      <w:r>
        <w:t xml:space="preserve">The previous generator produced synthetic data scoring 0.856 on persistence while real data scored 0.733 — the fake data was far easier to predict, so every headline number was flattered by the synthetic majority. That generator would have failed this test outright. Ours passes.</w:t>
      </w:r>
    </w:p>
    <w:p>
      <w:pPr>
        <w:spacing w:after="130" w:line="280"/>
      </w:pPr>
      <w:r>
        <w:rPr>
          <w:b/>
          <w:bCs/>
        </w:rPr>
        <w:t xml:space="preserve">Why test 4 is the subtle one. </w:t>
      </w:r>
      <w:r>
        <w:t xml:space="preserve">The old generator filled the gaps, making synthetic series solid and continuous. Real sensors have holes. Ours copies each real station's gap pattern exactly. The code comment calls densifying “the subtlest way to fake easy data”.</w:t>
      </w:r>
    </w:p>
    <w:p>
      <w:pPr>
        <w:pStyle w:val="Heading2"/>
        <w:spacing w:after="90" w:before="220"/>
      </w:pPr>
      <w:r>
        <w:t xml:space="preserve">(b) An independent outside check</w:t>
      </w:r>
    </w:p>
    <w:p>
      <w:pPr>
        <w:spacing w:after="130" w:line="280"/>
      </w:pPr>
      <w:r>
        <w:t xml:space="preserve">Beyond the generator's own tests, we compared our CPCB data against Copernicus CAMS satellite reanalysis over the eight months where both exist: 1,152,707 matched city-hours.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15314B" w:val="clear"/>
            <w:tcMar>
              <w:top w:type="dxa" w:w="60"/>
              <w:left w:type="dxa" w:w="100"/>
              <w:bottom w:type="dxa" w:w="60"/>
              <w:right w:type="dxa" w:w="100"/>
            </w:tcMar>
            <w:vAlign w:val="center"/>
          </w:tcPr>
          <w:p>
            <w:r>
              <w:rPr>
                <w:b/>
                <w:bCs/>
                <w:color w:val="FFFFFF"/>
                <w:sz w:val="19"/>
                <w:szCs w:val="19"/>
              </w:rPr>
              <w:t xml:space="preserve">Pollutant</w:t>
            </w:r>
          </w:p>
        </w:tc>
        <w:tc>
          <w:tcPr>
            <w:tcW w:type="dxa" w:w="1800"/>
            <w:shd w:fill="15314B" w:val="clear"/>
            <w:tcMar>
              <w:top w:type="dxa" w:w="60"/>
              <w:left w:type="dxa" w:w="100"/>
              <w:bottom w:type="dxa" w:w="60"/>
              <w:right w:type="dxa" w:w="100"/>
            </w:tcMar>
            <w:vAlign w:val="center"/>
          </w:tcPr>
          <w:p>
            <w:r>
              <w:rPr>
                <w:b/>
                <w:bCs/>
                <w:color w:val="FFFFFF"/>
                <w:sz w:val="19"/>
                <w:szCs w:val="19"/>
              </w:rPr>
              <w:t xml:space="preserve">Correlation</w:t>
            </w:r>
          </w:p>
        </w:tc>
        <w:tc>
          <w:tcPr>
            <w:tcW w:type="dxa" w:w="5000"/>
            <w:shd w:fill="15314B" w:val="clear"/>
            <w:tcMar>
              <w:top w:type="dxa" w:w="60"/>
              <w:left w:type="dxa" w:w="100"/>
              <w:bottom w:type="dxa" w:w="60"/>
              <w:right w:type="dxa" w:w="100"/>
            </w:tcMar>
            <w:vAlign w:val="center"/>
          </w:tcPr>
          <w:p>
            <w:r>
              <w:rPr>
                <w:b/>
                <w:bCs/>
                <w:color w:val="FFFFFF"/>
                <w:sz w:val="19"/>
                <w:szCs w:val="19"/>
              </w:rPr>
              <w:t xml:space="preserve">Read</w:t>
            </w:r>
          </w:p>
        </w:tc>
      </w:tr>
      <w:tr>
        <w:tc>
          <w:tcPr>
            <w:tcW w:type="dxa" w:w="2200"/>
            <w:tcMar>
              <w:top w:type="dxa" w:w="60"/>
              <w:left w:type="dxa" w:w="100"/>
              <w:bottom w:type="dxa" w:w="60"/>
              <w:right w:type="dxa" w:w="100"/>
            </w:tcMar>
            <w:vAlign w:val="center"/>
          </w:tcPr>
          <w:p>
            <w:r>
              <w:rPr>
                <w:b w:val="false"/>
                <w:bCs w:val="false"/>
                <w:sz w:val="19"/>
                <w:szCs w:val="19"/>
              </w:rPr>
              <w:t xml:space="preserve">PM2.5</w:t>
            </w:r>
          </w:p>
        </w:tc>
        <w:tc>
          <w:tcPr>
            <w:tcW w:type="dxa" w:w="1800"/>
            <w:tcMar>
              <w:top w:type="dxa" w:w="60"/>
              <w:left w:type="dxa" w:w="100"/>
              <w:bottom w:type="dxa" w:w="60"/>
              <w:right w:type="dxa" w:w="100"/>
            </w:tcMar>
            <w:vAlign w:val="center"/>
          </w:tcPr>
          <w:p>
            <w:r>
              <w:rPr>
                <w:b w:val="false"/>
                <w:bCs w:val="false"/>
                <w:sz w:val="19"/>
                <w:szCs w:val="19"/>
              </w:rPr>
              <w:t xml:space="preserve">0.565</w:t>
            </w:r>
          </w:p>
        </w:tc>
        <w:tc>
          <w:tcPr>
            <w:tcW w:type="dxa" w:w="5000"/>
            <w:tcMar>
              <w:top w:type="dxa" w:w="60"/>
              <w:left w:type="dxa" w:w="100"/>
              <w:bottom w:type="dxa" w:w="60"/>
              <w:right w:type="dxa" w:w="100"/>
            </w:tcMar>
            <w:vAlign w:val="center"/>
          </w:tcPr>
          <w:p>
            <w:r>
              <w:rPr>
                <w:b w:val="false"/>
                <w:bCs w:val="false"/>
                <w:sz w:val="19"/>
                <w:szCs w:val="19"/>
              </w:rPr>
              <w:t xml:space="preserve">Moderate — plausible for roadside sensors vs a coarse model grid</w:t>
            </w:r>
          </w:p>
        </w:tc>
      </w:tr>
      <w:tr>
        <w:tc>
          <w:tcPr>
            <w:tcW w:type="dxa" w:w="2200"/>
            <w:tcMar>
              <w:top w:type="dxa" w:w="60"/>
              <w:left w:type="dxa" w:w="100"/>
              <w:bottom w:type="dxa" w:w="60"/>
              <w:right w:type="dxa" w:w="100"/>
            </w:tcMar>
            <w:vAlign w:val="center"/>
          </w:tcPr>
          <w:p>
            <w:r>
              <w:rPr>
                <w:b w:val="false"/>
                <w:bCs w:val="false"/>
                <w:sz w:val="19"/>
                <w:szCs w:val="19"/>
              </w:rPr>
              <w:t xml:space="preserve">PM10</w:t>
            </w:r>
          </w:p>
        </w:tc>
        <w:tc>
          <w:tcPr>
            <w:tcW w:type="dxa" w:w="1800"/>
            <w:tcMar>
              <w:top w:type="dxa" w:w="60"/>
              <w:left w:type="dxa" w:w="100"/>
              <w:bottom w:type="dxa" w:w="60"/>
              <w:right w:type="dxa" w:w="100"/>
            </w:tcMar>
            <w:vAlign w:val="center"/>
          </w:tcPr>
          <w:p>
            <w:r>
              <w:rPr>
                <w:b w:val="false"/>
                <w:bCs w:val="false"/>
                <w:sz w:val="19"/>
                <w:szCs w:val="19"/>
              </w:rPr>
              <w:t xml:space="preserve">0.558</w:t>
            </w:r>
          </w:p>
        </w:tc>
        <w:tc>
          <w:tcPr>
            <w:tcW w:type="dxa" w:w="5000"/>
            <w:tcMar>
              <w:top w:type="dxa" w:w="60"/>
              <w:left w:type="dxa" w:w="100"/>
              <w:bottom w:type="dxa" w:w="60"/>
              <w:right w:type="dxa" w:w="100"/>
            </w:tcMar>
            <w:vAlign w:val="center"/>
          </w:tcPr>
          <w:p>
            <w:r>
              <w:rPr>
                <w:b w:val="false"/>
                <w:bCs w:val="false"/>
                <w:sz w:val="19"/>
                <w:szCs w:val="19"/>
              </w:rPr>
              <w:t xml:space="preserve">Moderate</w:t>
            </w:r>
          </w:p>
        </w:tc>
      </w:tr>
      <w:tr>
        <w:tc>
          <w:tcPr>
            <w:tcW w:type="dxa" w:w="2200"/>
            <w:tcMar>
              <w:top w:type="dxa" w:w="60"/>
              <w:left w:type="dxa" w:w="100"/>
              <w:bottom w:type="dxa" w:w="60"/>
              <w:right w:type="dxa" w:w="100"/>
            </w:tcMar>
            <w:vAlign w:val="center"/>
          </w:tcPr>
          <w:p>
            <w:r>
              <w:rPr>
                <w:b w:val="false"/>
                <w:bCs w:val="false"/>
                <w:sz w:val="19"/>
                <w:szCs w:val="19"/>
              </w:rPr>
              <w:t xml:space="preserve">O3</w:t>
            </w:r>
          </w:p>
        </w:tc>
        <w:tc>
          <w:tcPr>
            <w:tcW w:type="dxa" w:w="1800"/>
            <w:tcMar>
              <w:top w:type="dxa" w:w="60"/>
              <w:left w:type="dxa" w:w="100"/>
              <w:bottom w:type="dxa" w:w="60"/>
              <w:right w:type="dxa" w:w="100"/>
            </w:tcMar>
            <w:vAlign w:val="center"/>
          </w:tcPr>
          <w:p>
            <w:r>
              <w:rPr>
                <w:b w:val="false"/>
                <w:bCs w:val="false"/>
                <w:sz w:val="19"/>
                <w:szCs w:val="19"/>
              </w:rPr>
              <w:t xml:space="preserve">0.361</w:t>
            </w:r>
          </w:p>
        </w:tc>
        <w:tc>
          <w:tcPr>
            <w:tcW w:type="dxa" w:w="5000"/>
            <w:tcMar>
              <w:top w:type="dxa" w:w="60"/>
              <w:left w:type="dxa" w:w="100"/>
              <w:bottom w:type="dxa" w:w="60"/>
              <w:right w:type="dxa" w:w="100"/>
            </w:tcMar>
            <w:vAlign w:val="center"/>
          </w:tcPr>
          <w:p>
            <w:r>
              <w:rPr>
                <w:b w:val="false"/>
                <w:bCs w:val="false"/>
                <w:sz w:val="19"/>
                <w:szCs w:val="19"/>
              </w:rPr>
              <w:t xml:space="preserve">Weak, with a large systematic offset</w:t>
            </w:r>
          </w:p>
        </w:tc>
      </w:tr>
      <w:tr>
        <w:tc>
          <w:tcPr>
            <w:tcW w:type="dxa" w:w="2200"/>
            <w:tcMar>
              <w:top w:type="dxa" w:w="60"/>
              <w:left w:type="dxa" w:w="100"/>
              <w:bottom w:type="dxa" w:w="60"/>
              <w:right w:type="dxa" w:w="100"/>
            </w:tcMar>
            <w:vAlign w:val="center"/>
          </w:tcPr>
          <w:p>
            <w:r>
              <w:rPr>
                <w:b w:val="false"/>
                <w:bCs w:val="false"/>
                <w:sz w:val="19"/>
                <w:szCs w:val="19"/>
              </w:rPr>
              <w:t xml:space="preserve">NO2</w:t>
            </w:r>
          </w:p>
        </w:tc>
        <w:tc>
          <w:tcPr>
            <w:tcW w:type="dxa" w:w="1800"/>
            <w:tcMar>
              <w:top w:type="dxa" w:w="60"/>
              <w:left w:type="dxa" w:w="100"/>
              <w:bottom w:type="dxa" w:w="60"/>
              <w:right w:type="dxa" w:w="100"/>
            </w:tcMar>
            <w:vAlign w:val="center"/>
          </w:tcPr>
          <w:p>
            <w:r>
              <w:rPr>
                <w:b w:val="false"/>
                <w:bCs w:val="false"/>
                <w:sz w:val="19"/>
                <w:szCs w:val="19"/>
              </w:rPr>
              <w:t xml:space="preserve">0.219</w:t>
            </w:r>
          </w:p>
        </w:tc>
        <w:tc>
          <w:tcPr>
            <w:tcW w:type="dxa" w:w="5000"/>
            <w:tcMar>
              <w:top w:type="dxa" w:w="60"/>
              <w:left w:type="dxa" w:w="100"/>
              <w:bottom w:type="dxa" w:w="60"/>
              <w:right w:type="dxa" w:w="100"/>
            </w:tcMar>
            <w:vAlign w:val="center"/>
          </w:tcPr>
          <w:p>
            <w:r>
              <w:rPr>
                <w:b w:val="false"/>
                <w:bCs w:val="false"/>
                <w:sz w:val="19"/>
                <w:szCs w:val="19"/>
              </w:rPr>
              <w:t xml:space="preserve">Weak</w:t>
            </w:r>
          </w:p>
        </w:tc>
      </w:tr>
      <w:tr>
        <w:tc>
          <w:tcPr>
            <w:tcW w:type="dxa" w:w="2200"/>
            <w:tcMar>
              <w:top w:type="dxa" w:w="60"/>
              <w:left w:type="dxa" w:w="100"/>
              <w:bottom w:type="dxa" w:w="60"/>
              <w:right w:type="dxa" w:w="100"/>
            </w:tcMar>
            <w:vAlign w:val="center"/>
          </w:tcPr>
          <w:p>
            <w:r>
              <w:rPr>
                <w:b w:val="false"/>
                <w:bCs w:val="false"/>
                <w:sz w:val="19"/>
                <w:szCs w:val="19"/>
              </w:rPr>
              <w:t xml:space="preserve">SO2</w:t>
            </w:r>
          </w:p>
        </w:tc>
        <w:tc>
          <w:tcPr>
            <w:tcW w:type="dxa" w:w="1800"/>
            <w:tcMar>
              <w:top w:type="dxa" w:w="60"/>
              <w:left w:type="dxa" w:w="100"/>
              <w:bottom w:type="dxa" w:w="60"/>
              <w:right w:type="dxa" w:w="100"/>
            </w:tcMar>
            <w:vAlign w:val="center"/>
          </w:tcPr>
          <w:p>
            <w:r>
              <w:rPr>
                <w:b w:val="false"/>
                <w:bCs w:val="false"/>
                <w:sz w:val="19"/>
                <w:szCs w:val="19"/>
              </w:rPr>
              <w:t xml:space="preserve">0.083</w:t>
            </w:r>
          </w:p>
        </w:tc>
        <w:tc>
          <w:tcPr>
            <w:tcW w:type="dxa" w:w="5000"/>
            <w:tcMar>
              <w:top w:type="dxa" w:w="60"/>
              <w:left w:type="dxa" w:w="100"/>
              <w:bottom w:type="dxa" w:w="60"/>
              <w:right w:type="dxa" w:w="100"/>
            </w:tcMar>
            <w:vAlign w:val="center"/>
          </w:tcPr>
          <w:p>
            <w:r>
              <w:rPr>
                <w:b w:val="false"/>
                <w:bCs w:val="false"/>
                <w:sz w:val="19"/>
                <w:szCs w:val="19"/>
              </w:rPr>
              <w:t xml:space="preserve">Essentially no agreement — reported, not hidden</w:t>
            </w:r>
          </w:p>
        </w:tc>
      </w:tr>
    </w:tbl>
    <w:p>
      <w:pPr>
        <w:spacing w:after="130" w:line="280"/>
      </w:pPr>
      <w:r>
        <w:t xml:space="preserve"/>
      </w:r>
    </w:p>
    <w:p>
      <w:pPr>
        <w:spacing w:after="130" w:line="280"/>
      </w:pPr>
      <w:r>
        <w:rPr>
          <w:b/>
          <w:bCs/>
        </w:rPr>
        <w:t xml:space="preserve">Say this before you are asked: </w:t>
      </w:r>
      <w:r>
        <w:t xml:space="preserve">“The cross-validation is a mixed result and we publish it as one. Particulates track moderately. SO2 does not agree at all. We also ran a synthetic-versus-CAMS test and then threw it out, because averaging to city-hour cancels the perturbation — the test could not tell real from synthetic by construction, so it was not evidence either way.”</w:t>
      </w:r>
    </w:p>
    <w:p>
      <w:pPr>
        <w:pStyle w:val="Heading1"/>
        <w:spacing w:after="140" w:before="320"/>
      </w:pPr>
      <w:r>
        <w:t xml:space="preserve">8. Questions you will be asked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5314B" w:val="clear"/>
            <w:tcMar>
              <w:top w:type="dxa" w:w="60"/>
              <w:left w:type="dxa" w:w="100"/>
              <w:bottom w:type="dxa" w:w="60"/>
              <w:right w:type="dxa" w:w="100"/>
            </w:tcMar>
            <w:vAlign w:val="center"/>
          </w:tcPr>
          <w:p>
            <w:r>
              <w:rPr>
                <w:b/>
                <w:bCs/>
                <w:color w:val="FFFFFF"/>
                <w:sz w:val="19"/>
                <w:szCs w:val="19"/>
              </w:rPr>
              <w:t xml:space="preserve">Question</w:t>
            </w:r>
          </w:p>
        </w:tc>
        <w:tc>
          <w:tcPr>
            <w:tcW w:type="dxa" w:w="6000"/>
            <w:shd w:fill="15314B" w:val="clear"/>
            <w:tcMar>
              <w:top w:type="dxa" w:w="60"/>
              <w:left w:type="dxa" w:w="100"/>
              <w:bottom w:type="dxa" w:w="60"/>
              <w:right w:type="dxa" w:w="100"/>
            </w:tcMar>
            <w:vAlign w:val="center"/>
          </w:tcPr>
          <w:p>
            <w:r>
              <w:rPr>
                <w:b/>
                <w:bCs/>
                <w:color w:val="FFFFFF"/>
                <w:sz w:val="19"/>
                <w:szCs w:val="19"/>
              </w:rPr>
              <w:t xml:space="preserve">Answer</w:t>
            </w:r>
          </w:p>
        </w:tc>
      </w:tr>
      <w:tr>
        <w:tc>
          <w:tcPr>
            <w:tcW w:type="dxa" w:w="3000"/>
            <w:tcMar>
              <w:top w:type="dxa" w:w="60"/>
              <w:left w:type="dxa" w:w="100"/>
              <w:bottom w:type="dxa" w:w="60"/>
              <w:right w:type="dxa" w:w="100"/>
            </w:tcMar>
            <w:vAlign w:val="center"/>
          </w:tcPr>
          <w:p>
            <w:r>
              <w:rPr>
                <w:b w:val="false"/>
                <w:bCs w:val="false"/>
                <w:sz w:val="19"/>
                <w:szCs w:val="19"/>
              </w:rPr>
              <w:t xml:space="preserve">What is the accuracy?</w:t>
            </w:r>
          </w:p>
        </w:tc>
        <w:tc>
          <w:tcPr>
            <w:tcW w:type="dxa" w:w="6000"/>
            <w:tcMar>
              <w:top w:type="dxa" w:w="60"/>
              <w:left w:type="dxa" w:w="100"/>
              <w:bottom w:type="dxa" w:w="60"/>
              <w:right w:type="dxa" w:w="100"/>
            </w:tcMar>
            <w:vAlign w:val="center"/>
          </w:tcPr>
          <w:p>
            <w:r>
              <w:rPr>
                <w:b w:val="false"/>
                <w:bCs w:val="false"/>
                <w:sz w:val="19"/>
                <w:szCs w:val="19"/>
              </w:rPr>
              <w:t xml:space="preserve">It is regression, so R² rather than accuracy: 0.891, and 12.18% better than the baseline on real rows.</w:t>
            </w:r>
          </w:p>
        </w:tc>
      </w:tr>
      <w:tr>
        <w:tc>
          <w:tcPr>
            <w:tcW w:type="dxa" w:w="3000"/>
            <w:tcMar>
              <w:top w:type="dxa" w:w="60"/>
              <w:left w:type="dxa" w:w="100"/>
              <w:bottom w:type="dxa" w:w="60"/>
              <w:right w:type="dxa" w:w="100"/>
            </w:tcMar>
            <w:vAlign w:val="center"/>
          </w:tcPr>
          <w:p>
            <w:r>
              <w:rPr>
                <w:b w:val="false"/>
                <w:bCs w:val="false"/>
                <w:sz w:val="19"/>
                <w:szCs w:val="19"/>
              </w:rPr>
              <w:t xml:space="preserve">Why so much synthetic data?</w:t>
            </w:r>
          </w:p>
        </w:tc>
        <w:tc>
          <w:tcPr>
            <w:tcW w:type="dxa" w:w="6000"/>
            <w:tcMar>
              <w:top w:type="dxa" w:w="60"/>
              <w:left w:type="dxa" w:w="100"/>
              <w:bottom w:type="dxa" w:w="60"/>
              <w:right w:type="dxa" w:w="100"/>
            </w:tcMar>
            <w:vAlign w:val="center"/>
          </w:tcPr>
          <w:p>
            <w:r>
              <w:rPr>
                <w:b w:val="false"/>
                <w:bCs w:val="false"/>
                <w:sz w:val="19"/>
                <w:szCs w:val="19"/>
              </w:rPr>
              <w:t xml:space="preserve">88.9%, fully disclosed. That is exactly why we report real-rows-only separately — synthetic rows are easier to predict.</w:t>
            </w:r>
          </w:p>
        </w:tc>
      </w:tr>
      <w:tr>
        <w:tc>
          <w:tcPr>
            <w:tcW w:type="dxa" w:w="3000"/>
            <w:tcMar>
              <w:top w:type="dxa" w:w="60"/>
              <w:left w:type="dxa" w:w="100"/>
              <w:bottom w:type="dxa" w:w="60"/>
              <w:right w:type="dxa" w:w="100"/>
            </w:tcMar>
            <w:vAlign w:val="center"/>
          </w:tcPr>
          <w:p>
            <w:r>
              <w:rPr>
                <w:b w:val="false"/>
                <w:bCs w:val="false"/>
                <w:sz w:val="19"/>
                <w:szCs w:val="19"/>
              </w:rPr>
              <w:t xml:space="preserve">Is the dashboard live?</w:t>
            </w:r>
          </w:p>
        </w:tc>
        <w:tc>
          <w:tcPr>
            <w:tcW w:type="dxa" w:w="6000"/>
            <w:tcMar>
              <w:top w:type="dxa" w:w="60"/>
              <w:left w:type="dxa" w:w="100"/>
              <w:bottom w:type="dxa" w:w="60"/>
              <w:right w:type="dxa" w:w="100"/>
            </w:tcMar>
            <w:vAlign w:val="center"/>
          </w:tcPr>
          <w:p>
            <w:r>
              <w:rPr>
                <w:b w:val="false"/>
                <w:bCs w:val="false"/>
                <w:sz w:val="19"/>
                <w:szCs w:val="19"/>
              </w:rPr>
              <w:t xml:space="preserve">The pipeline is live; the page is a snapshot of the latest completed cycle, refreshed by a scheduled job.</w:t>
            </w:r>
          </w:p>
        </w:tc>
      </w:tr>
      <w:tr>
        <w:tc>
          <w:tcPr>
            <w:tcW w:type="dxa" w:w="3000"/>
            <w:tcMar>
              <w:top w:type="dxa" w:w="60"/>
              <w:left w:type="dxa" w:w="100"/>
              <w:bottom w:type="dxa" w:w="60"/>
              <w:right w:type="dxa" w:w="100"/>
            </w:tcMar>
            <w:vAlign w:val="center"/>
          </w:tcPr>
          <w:p>
            <w:r>
              <w:rPr>
                <w:b w:val="false"/>
                <w:bCs w:val="false"/>
                <w:sz w:val="19"/>
                <w:szCs w:val="19"/>
              </w:rPr>
              <w:t xml:space="preserve">Does the frontend use Hive?</w:t>
            </w:r>
          </w:p>
        </w:tc>
        <w:tc>
          <w:tcPr>
            <w:tcW w:type="dxa" w:w="6000"/>
            <w:tcMar>
              <w:top w:type="dxa" w:w="60"/>
              <w:left w:type="dxa" w:w="100"/>
              <w:bottom w:type="dxa" w:w="60"/>
              <w:right w:type="dxa" w:w="100"/>
            </w:tcMar>
            <w:vAlign w:val="center"/>
          </w:tcPr>
          <w:p>
            <w:r>
              <w:rPr>
                <w:b w:val="false"/>
                <w:bCs w:val="false"/>
                <w:sz w:val="19"/>
                <w:szCs w:val="19"/>
              </w:rPr>
              <w:t xml:space="preserve">Yes — every number comes from a Hive query. The export job runs the SQL; the page displays the results.</w:t>
            </w:r>
          </w:p>
        </w:tc>
      </w:tr>
      <w:tr>
        <w:tc>
          <w:tcPr>
            <w:tcW w:type="dxa" w:w="3000"/>
            <w:tcMar>
              <w:top w:type="dxa" w:w="60"/>
              <w:left w:type="dxa" w:w="100"/>
              <w:bottom w:type="dxa" w:w="60"/>
              <w:right w:type="dxa" w:w="100"/>
            </w:tcMar>
            <w:vAlign w:val="center"/>
          </w:tcPr>
          <w:p>
            <w:r>
              <w:rPr>
                <w:b w:val="false"/>
                <w:bCs w:val="false"/>
                <w:sz w:val="19"/>
                <w:szCs w:val="19"/>
              </w:rPr>
              <w:t xml:space="preserve">Did the validation pass?</w:t>
            </w:r>
          </w:p>
        </w:tc>
        <w:tc>
          <w:tcPr>
            <w:tcW w:type="dxa" w:w="6000"/>
            <w:tcMar>
              <w:top w:type="dxa" w:w="60"/>
              <w:left w:type="dxa" w:w="100"/>
              <w:bottom w:type="dxa" w:w="60"/>
              <w:right w:type="dxa" w:w="100"/>
            </w:tcMar>
            <w:vAlign w:val="center"/>
          </w:tcPr>
          <w:p>
            <w:r>
              <w:rPr>
                <w:b w:val="false"/>
                <w:bCs w:val="false"/>
                <w:sz w:val="19"/>
                <w:szCs w:val="19"/>
              </w:rPr>
              <w:t xml:space="preserve">The five paired tests pass. The independent CAMS check is mixed, and we say so: PM2.5 0.565, SO2 0.083.</w:t>
            </w:r>
          </w:p>
        </w:tc>
      </w:tr>
      <w:tr>
        <w:tc>
          <w:tcPr>
            <w:tcW w:type="dxa" w:w="3000"/>
            <w:tcMar>
              <w:top w:type="dxa" w:w="60"/>
              <w:left w:type="dxa" w:w="100"/>
              <w:bottom w:type="dxa" w:w="60"/>
              <w:right w:type="dxa" w:w="100"/>
            </w:tcMar>
            <w:vAlign w:val="center"/>
          </w:tcPr>
          <w:p>
            <w:r>
              <w:rPr>
                <w:b w:val="false"/>
                <w:bCs w:val="false"/>
                <w:sz w:val="19"/>
                <w:szCs w:val="19"/>
              </w:rPr>
              <w:t xml:space="preserve">Why Hadoop for this?</w:t>
            </w:r>
          </w:p>
        </w:tc>
        <w:tc>
          <w:tcPr>
            <w:tcW w:type="dxa" w:w="6000"/>
            <w:tcMar>
              <w:top w:type="dxa" w:w="60"/>
              <w:left w:type="dxa" w:w="100"/>
              <w:bottom w:type="dxa" w:w="60"/>
              <w:right w:type="dxa" w:w="100"/>
            </w:tcMar>
            <w:vAlign w:val="center"/>
          </w:tcPr>
          <w:p>
            <w:r>
              <w:rPr>
                <w:b w:val="false"/>
                <w:bCs w:val="false"/>
                <w:sz w:val="19"/>
                <w:szCs w:val="19"/>
              </w:rPr>
              <w:t xml:space="preserve">154M rows and a 19.7 GB feature write. A 10M-row training sample was itself a RAM ceiling on one machine.</w:t>
            </w:r>
          </w:p>
        </w:tc>
      </w:tr>
      <w:tr>
        <w:tc>
          <w:tcPr>
            <w:tcW w:type="dxa" w:w="3000"/>
            <w:tcMar>
              <w:top w:type="dxa" w:w="60"/>
              <w:left w:type="dxa" w:w="100"/>
              <w:bottom w:type="dxa" w:w="60"/>
              <w:right w:type="dxa" w:w="100"/>
            </w:tcMar>
            <w:vAlign w:val="center"/>
          </w:tcPr>
          <w:p>
            <w:r>
              <w:rPr>
                <w:b w:val="false"/>
                <w:bCs w:val="false"/>
                <w:sz w:val="19"/>
                <w:szCs w:val="19"/>
              </w:rPr>
              <w:t xml:space="preserve">What went wrong?</w:t>
            </w:r>
          </w:p>
        </w:tc>
        <w:tc>
          <w:tcPr>
            <w:tcW w:type="dxa" w:w="6000"/>
            <w:tcMar>
              <w:top w:type="dxa" w:w="60"/>
              <w:left w:type="dxa" w:w="100"/>
              <w:bottom w:type="dxa" w:w="60"/>
              <w:right w:type="dxa" w:w="100"/>
            </w:tcMar>
            <w:vAlign w:val="center"/>
          </w:tcPr>
          <w:p>
            <w:r>
              <w:rPr>
                <w:b w:val="false"/>
                <w:bCs w:val="false"/>
                <w:sz w:val="19"/>
                <w:szCs w:val="19"/>
              </w:rPr>
              <w:t xml:space="preserve">Eleven defects, all documented. Two produced plausible wrong answers with no error — 16,560 rows in, 0 out, no exception.</w:t>
            </w:r>
          </w:p>
        </w:tc>
      </w:tr>
    </w:tbl>
    <w:p>
      <w:pPr>
        <w:spacing w:after="130" w:line="280"/>
      </w:pPr>
      <w:r>
        <w:t xml:space="preserve"/>
      </w:r>
    </w:p>
    <w:p>
      <w:pPr>
        <w:pBdr>
          <w:left w:val="single" w:color="0E7C86" w:sz="14" w:space="10"/>
        </w:pBdr>
        <w:spacing w:after="120" w:line="290"/>
        <w:ind w:left="360"/>
      </w:pPr>
      <w:r>
        <w:rPr>
          <w:i/>
          <w:iCs/>
          <w:color w:val="1B2430"/>
        </w:rPr>
        <w:t xml:space="preserve">If you only remember one line: “We do not just report what worked — every number in this project can be reproduced from a script in the repository, and the weak results are published as plainly as the strong ones.”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2026-09-28T04:32:46.991Z</dcterms:created>
  <dcterms:modified xsi:type="dcterms:W3CDTF">2026-09-28T04:32:46.992Z</dcterms:modified>
</cp:coreProperties>
</file>

<file path=docProps/custom.xml><?xml version="1.0" encoding="utf-8"?>
<Properties xmlns="http://schemas.openxmlformats.org/officeDocument/2006/custom-properties" xmlns:vt="http://schemas.openxmlformats.org/officeDocument/2006/docPropsVTypes"/>
</file>