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371600" cy="1371600"/>
                    </a:xfrm>
                    <a:prstGeom prst="rect"/>
                  </pic:spPr>
                </pic:pic>
              </a:graphicData>
            </a:graphic>
          </wp:inline>
        </w:drawing>
      </w:r>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Waste management in semi-urban Indian communities like Chintalavalasa, Andhra Pradesh, is plagued by informal collection schedules, paper-based complaint tracking, and overflowing bins with no accountability.</w:t>
      </w:r>
    </w:p>
    <w:p>
      <w:pPr>
        <w:spacing w:after="120" w:before="0" w:line="240" w:lineRule="auto"/>
        <w:jc w:val="both"/>
      </w:pPr>
      <w:r>
        <w:rPr>
          <w:rFonts w:ascii="Times New Roman" w:hAnsi="Times New Roman" w:eastAsia="Times New Roman"/>
          <w:b w:val="0"/>
          <w:i w:val="0"/>
          <w:sz w:val="24"/>
        </w:rPr>
        <w:t>SmartGarbage is a community-based smart waste management system built for the Chintalavalasa Gram Panchayat. It lets citizens check collection schedules, report missed pickups with photos and GPS, and track complaint resolution in real time. Administrators monitor operations through a live dashboard, assign workers, and view ward-level analytics.</w:t>
      </w:r>
    </w:p>
    <w:p>
      <w:pPr>
        <w:spacing w:after="120" w:before="0" w:line="240" w:lineRule="auto"/>
        <w:jc w:val="both"/>
      </w:pPr>
      <w:r>
        <w:rPr>
          <w:rFonts w:ascii="Times New Roman" w:hAnsi="Times New Roman" w:eastAsia="Times New Roman"/>
          <w:b w:val="0"/>
          <w:i w:val="0"/>
          <w:sz w:val="24"/>
        </w:rPr>
        <w:t>The system uses IoT-enabled smart bins to monitor fill levels and predict overflow risk, enabling proactive collection. A pay-as-you-throw billing mechanism charges residents for non-segregated waste, encouraging proper segregation. Green Points gamification rewards citizens for consistent segregation behaviour.</w:t>
      </w:r>
    </w:p>
    <w:p>
      <w:pPr>
        <w:spacing w:after="120" w:before="0" w:line="240" w:lineRule="auto"/>
        <w:jc w:val="both"/>
      </w:pPr>
      <w:r>
        <w:rPr>
          <w:rFonts w:ascii="Times New Roman" w:hAnsi="Times New Roman" w:eastAsia="Times New Roman"/>
          <w:b w:val="0"/>
          <w:i w:val="0"/>
          <w:sz w:val="24"/>
        </w:rPr>
        <w:t>For low-connectivity areas, Progressive Web App capabilities allow offline complaint filing with automatic sync. Bilingual support in English and Telugu ensures wide accessibility.</w:t>
      </w:r>
    </w:p>
    <w:p>
      <w:pPr>
        <w:spacing w:after="120" w:before="0" w:line="240" w:lineRule="auto"/>
        <w:jc w:val="both"/>
      </w:pPr>
      <w:r>
        <w:rPr>
          <w:rFonts w:ascii="Times New Roman" w:hAnsi="Times New Roman" w:eastAsia="Times New Roman"/>
          <w:b w:val="0"/>
          <w:i w:val="0"/>
          <w:sz w:val="24"/>
        </w:rPr>
        <w:t>The prototype is deployed and tested for Chintalavalasa. While synthetic data is used for machine learning training and IoT telemetry is simulated, the architecture is ready for real sensor integration and community-scale deployment.</w:t>
      </w:r>
    </w:p>
    <w:p>
      <w:pPr>
        <w:spacing w:after="240" w:before="0" w:line="240" w:lineRule="auto"/>
        <w:jc w:val="both"/>
      </w:pPr>
      <w:r>
        <w:rPr>
          <w:rFonts w:ascii="Times New Roman" w:hAnsi="Times New Roman" w:eastAsia="Times New Roman"/>
          <w:b w:val="0"/>
          <w:i/>
          <w:sz w:val="24"/>
        </w:rPr>
        <w:t>Keywords: Smart Waste Management, Community Governance, IoT, Machine Learning,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3" name="Picture 3"/>
            <wp:cNvGraphicFramePr>
              <a:graphicFrameLocks noChangeAspect="1"/>
            </wp:cNvGraphicFramePr>
            <a:graphic>
              <a:graphicData uri="http://schemas.openxmlformats.org/drawingml/2006/picture">
                <pic:pic>
                  <pic:nvPicPr>
                    <pic:cNvPr id="0" name="complaint.png"/>
                    <pic:cNvPicPr/>
                  </pic:nvPicPr>
                  <pic:blipFill>
                    <a:blip r:embed="rId11"/>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ml_pipeline.png"/>
                    <pic:cNvPicPr/>
                  </pic:nvPicPr>
                  <pic:blipFill>
                    <a:blip r:embed="rId12"/>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5" name="Picture 5"/>
            <wp:cNvGraphicFramePr>
              <a:graphicFrameLocks noChangeAspect="1"/>
            </wp:cNvGraphicFramePr>
            <a:graphic>
              <a:graphicData uri="http://schemas.openxmlformats.org/drawingml/2006/picture">
                <pic:pic>
                  <pic:nvPicPr>
                    <pic:cNvPr id="0" name="pwa_workflow.png"/>
                    <pic:cNvPicPr/>
                  </pic:nvPicPr>
                  <pic:blipFill>
                    <a:blip r:embed="rId13"/>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