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b w:val="0"/>
          <w:bCs w:val="0"/>
          <w:szCs w:val="20"/>
          <w:rtl w:val="off"/>
        </w:rPr>
      </w:pPr>
      <w:r>
        <w:rPr>
          <w:b w:val="0"/>
          <w:bCs w:val="0"/>
          <w:szCs w:val="20"/>
        </w:rPr>
        <w:fldChar w:fldCharType="begin"/>
      </w:r>
      <w:r>
        <w:rPr>
          <w:b w:val="0"/>
          <w:bCs w:val="0"/>
          <w:szCs w:val="20"/>
        </w:rPr>
        <w:instrText xml:space="preserve"> HYPERLINK "https://www.sjsori.com/news/articleView.html?idxno=29073" </w:instrText>
      </w:r>
      <w:r>
        <w:rPr>
          <w:b w:val="0"/>
          <w:bCs w:val="0"/>
          <w:szCs w:val="20"/>
        </w:rPr>
        <w:fldChar w:fldCharType="separate"/>
      </w:r>
      <w:r>
        <w:rPr>
          <w:rStyle w:val="affff8"/>
          <w:rFonts w:ascii="맑은 고딕" w:eastAsia="맑은 고딕" w:hAnsi="맑은 고딕" w:cs="Arial"/>
          <w:b w:val="0"/>
          <w:bCs w:val="0"/>
          <w:szCs w:val="20"/>
        </w:rPr>
        <w:t>https://www.sjsori.com/news/articleView.html?idxno=29073</w:t>
      </w:r>
      <w:r>
        <w:rPr>
          <w:b w:val="0"/>
          <w:bCs w:val="0"/>
          <w:szCs w:val="20"/>
        </w:rPr>
        <w:fldChar w:fldCharType="end"/>
      </w:r>
    </w:p>
    <w:p>
      <w:pPr>
        <w:rPr>
          <w:lang/>
          <w:b w:val="0"/>
          <w:bCs w:val="0"/>
          <w:szCs w:val="20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/>
          <w:bCs/>
          <w:i w:val="0"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 xml:space="preserve">기사 제목: 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4"/>
          <w:szCs w:val="24"/>
        </w:rPr>
        <w:t>세종시 5-1생활권 ‘스마트시티 국가시범도시’ 선정</w:t>
      </w:r>
    </w:p>
    <w:p>
      <w:pPr>
        <w:rPr>
          <w:lang w:eastAsia="ko-KR"/>
          <w:rFonts w:hint="eastAsia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4"/>
          <w:szCs w:val="24"/>
          <w:rtl w:val="off"/>
        </w:rPr>
        <w:t xml:space="preserve">기사 날짜: </w:t>
      </w:r>
      <w:r>
        <w:rPr>
          <w:b/>
          <w:bCs/>
          <w:sz w:val="24"/>
          <w:szCs w:val="24"/>
        </w:rPr>
        <w:t>2018.01.29 15:25</w:t>
      </w:r>
      <w:r>
        <w:rPr>
          <w:lang w:eastAsia="ko-KR"/>
          <w:b/>
          <w:bCs/>
          <w:sz w:val="24"/>
          <w:szCs w:val="24"/>
          <w:rtl w:val="off"/>
        </w:rPr>
        <w:t xml:space="preserve"> 곽우석 기자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&lt;원문&gt;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세종시 행정중심복합도시(행복도시) 5-1 생활권(합강리)이 정부가 추진하는 '스마트시티 국가 시범도시'로 선정됐다.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대통령 직속 4차산업혁명위원회는 29일 오전 광화문KT 12층 회의실에서 장병규 위원장 주재로 제4차 회의를 개최하고, 세종(274만㎡, 83만평)과 부산 강서구 에코델타시티(219만㎡, 66만평) 등 두 곳을 시범사업지로 확정 발표했다.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한국토지주택공사(세종시)와 수자원공사(부산) 등 공공기관 주도로 향후 5년간 조성되는 스마트시티 국가 시범도시에는 도시설계 단계부터 시공까지 스마트시티 주요 기술이 대거 적용된다.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세종은 에너지‧교통, 부산은 워터시티 컨셉‧국제물류 연계성을 기본으로 다양한 생활체감형 기술이 함께 구현되며, 세부 콘텐츠는 구상‧설계과정에서 지속적으로 발굴‧접목해 나갈 예정이다.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5년내 세계 최고 수준의 스마트시티로 조성될 수 있도록, 규제 샌드박스 등 과감한 규제개혁을 통한 민간투자 활성화와 정부 R&amp;D 및 정책예산의 집약, 스마트시티 인프라 조성 검토, 시민참여 활성화 등 전방위 지원이 뒤따를 전망이다.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세종의 경우 기존 '행복도시 스마트시티 추진계획(2017∼2030)'에 따라 로드맵이 진행중인 가운에 이번 국가 시범도시 선정으로 사업 추진에 날개를 달게 됐다.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맑은 고딕"/>
          <w:b w:val="0"/>
          <w:i w:val="0"/>
          <w:sz w:val="20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5-1생활권은 KTX 오송역(14km)을 비롯해 경부‧호남 고속철도, 경부‧중부‧천안논산‧서울~세종(2025년 준공) 고속도로, 청주공항(37km) 등과 인접해 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주변에는 정부세종청사, 국책연구단지, 대학(KAIST 등), 대덕연구단지, 오송생명과학단지와 첨단산업단지(4‧6 생활권) 등 입지한다. 주거‧행정‧연구‧산업 등 다양한 기능이 융‧복합된 자족도시조성을 추진 중이다.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정부는 이곳을 ▲에너지 ▲교통 ▲생활‧안전 등을 기본 컨셉으로 스마트시티로 조성할 방침이다.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에너지 부문에서는 에너지관리시스템(EMS), AMI 및 전력중개판매 서비스 도입, 제로에너지단지 조성 등으로 주거비용 절감 및 지속가능한 도시를 표방하고 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교통 부문에서는 자율주행 정밀지도, 3차원 공간정보시스템, C-ITS 등 스마트인프라를 기반으로 한 자율주행 특화도시 조성(대중교통, 커넥티드카 등) 등이 계획됐다. 생활‧안전 부문에서는 스마트팜, 미세먼지모니터링, 재난대응 AI 시스템 등이 도입된다.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정부는 이 같은 개발계획에 기초해 주요 컨셉을 대폭 보완, 상반기 중 기본구상(안)을 마련할 방침이다. 2019년 상반기까지 실시설계를 마무리하고, 조성공사에 착수해 2021년 12월이면 입주가 가능할 전망이다.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정부는 백지상태에서 새롭게 조성하는 국가 시범도시가 ▲신기술의 테스트베드 ▲도시 문제해결‧삶의 질 제고 ▲혁신 산업생태계 조성 등 세 가지 방향을 담을 수 있도록 추진할 계획이다.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특히 국가 시범도시를 플랫폼으로 자율주행차, 스마트에너지, AI 등 4차 산업혁명의 다양한 미래기술이 집적‧구현되도록 하고, 데이터 기반 스마트 도시운영으로 도시문제 해결과 신산업 창출을 지원할 예정이다.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정부는 그간의 기술 중심의 단편적 접근, 공공주도의 스마트시티(U-City) 정책에서 벗어나 혁신성장을 견인하는 지속가능한 도시, 민간기업‧시민 등 다양한 수요자가 참여하는 사람 중심의 열린 도시로 거듭나기 위한 '스마트시티 7대 혁신변화'를 추진할 계획이다.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이를 위해 도시성장 단계별 차별화된 접근, 도시가치를 높이는 맞춤형 기술 접목, 민간기업‧시민‧정부 주체별 역할 재정립이라는 '3대 전략'도 내놨다.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장병규 4차산업혁명위원회 위원장은 "스마트시티는 4차 산업혁명의 모든 기술·서비스를 구현할 수 있는 플랫폼으로서 의미가 있다"며 "스마트시티가 지속가능한 플랫폼으로서 자리 잡기 위해서는 시민·민간의 참여를 통해 도시·사회 문제 해결을 논의해 나가는 등 개방적 확장성을 가지는 게 무엇보다 중요하다"고 말했다.</w:t>
      </w:r>
    </w:p>
    <w:p>
      <w:pPr>
        <w:ind w:firstLine="0"/>
        <w:shd w:val="clear" w:color="auto" w:fill="auto"/>
        <w:rPr>
          <w:caps w:val="off"/>
          <w:lang/>
          <w:rFonts w:ascii="맑은 고딕" w:eastAsia="맑은 고딕" w:hAnsi="맑은 고딕" w:cs="맑은 고딕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/>
          <w:rFonts w:ascii="맑은 고딕" w:eastAsia="맑은 고딕" w:hAnsi="맑은 고딕" w:cs="맑은 고딕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/>
          <w:rFonts w:ascii="맑은 고딕" w:eastAsia="맑은 고딕" w:hAnsi="맑은 고딕" w:cs="맑은 고딕"/>
          <w:b w:val="0"/>
          <w:i w:val="0"/>
          <w:sz w:val="20"/>
          <w:rtl w:val="off"/>
        </w:rPr>
      </w:pPr>
    </w:p>
    <w:p>
      <w:pPr>
        <w:ind w:firstLine="0"/>
        <w:jc w:val="center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/>
          <w:bCs/>
          <w:i w:val="0"/>
          <w:sz w:val="28"/>
          <w:szCs w:val="28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8"/>
          <w:szCs w:val="28"/>
          <w:rtl w:val="off"/>
        </w:rPr>
        <w:t>&lt;챗지피티 및 뤼튼 내용 정리본&gt;</w:t>
      </w:r>
    </w:p>
    <w:p>
      <w:pPr>
        <w:spacing w:after="0" w:before="0"/>
        <w:rPr/>
      </w:pPr>
    </w:p>
    <w:p>
      <w:pPr>
        <w:rPr>
          <w:b w:val="0"/>
        </w:rPr>
      </w:pPr>
      <w:r>
        <w:rPr>
          <w:b/>
          <w:bCs/>
        </w:rPr>
        <w:t>스마트시티 국가 시범도시로 선정</w:t>
      </w:r>
      <w:r>
        <w:rPr>
          <w:b/>
          <w:bCs/>
        </w:rPr>
        <w:t>:</w:t>
      </w:r>
    </w:p>
    <w:p>
      <w:pPr>
        <w:rPr/>
      </w:pPr>
      <w:r>
        <w:rPr/>
        <w:t>세종시 행정중심복합도시 5-1 생활권(합강리)이 스마트시티 국가 시범도시로 선정되었다.</w:t>
      </w:r>
    </w:p>
    <w:p>
      <w:pPr>
        <w:rPr/>
      </w:pPr>
      <w:r>
        <w:rPr/>
        <w:t>대통령 직속 4차산업혁명위원회가 선정 발표를 했으며, 부산 강서구 에코델타시티와 함께 시범사업지로 확정되었다.</w:t>
      </w:r>
    </w:p>
    <w:p>
      <w:pPr>
        <w:spacing w:after="0" w:before="0"/>
        <w:rPr/>
      </w:pPr>
    </w:p>
    <w:p>
      <w:pPr>
        <w:rPr>
          <w:b/>
          <w:bCs/>
        </w:rPr>
      </w:pPr>
      <w:r>
        <w:rPr>
          <w:b/>
          <w:bCs/>
        </w:rPr>
        <w:t>스마트시티 구축 계획</w:t>
      </w:r>
      <w:r>
        <w:rPr>
          <w:b/>
          <w:bCs/>
        </w:rPr>
        <w:t>:</w:t>
      </w:r>
    </w:p>
    <w:p>
      <w:pPr>
        <w:rPr/>
      </w:pPr>
      <w:r>
        <w:rPr/>
        <w:t>스마트시티 국가 시범도시는 한국토지주택공사와 수자원공사 등 공공기관 주도로 5년간 조성되며 스마트시티 주요 기술이 적용된다.</w:t>
      </w:r>
    </w:p>
    <w:p>
      <w:pPr>
        <w:rPr/>
      </w:pPr>
      <w:r>
        <w:rPr/>
        <w:t>세종시는 에너지, 교통 관련 기술을 중심으로 개발되며 부산은 워터시티 컨셉과 국제물류 연계성을 갖춘다.</w:t>
      </w:r>
    </w:p>
    <w:p>
      <w:pPr>
        <w:spacing w:after="0" w:before="0"/>
        <w:rPr/>
      </w:pPr>
    </w:p>
    <w:p>
      <w:pPr>
        <w:rPr>
          <w:b/>
          <w:bCs/>
        </w:rPr>
      </w:pPr>
      <w:r>
        <w:rPr>
          <w:b/>
          <w:bCs/>
        </w:rPr>
        <w:t>전방위 지원 및 규제개혁</w:t>
      </w:r>
      <w:r>
        <w:rPr>
          <w:b/>
          <w:bCs/>
        </w:rPr>
        <w:t>:</w:t>
      </w:r>
    </w:p>
    <w:p>
      <w:pPr>
        <w:rPr/>
      </w:pPr>
      <w:r>
        <w:rPr/>
        <w:t>5년 내에 세계 최고 수준의 스마트시티로 조성하기 위해 규제개혁과 민간투자 활성화 등의 지원이 예상된다.</w:t>
      </w:r>
    </w:p>
    <w:p>
      <w:pPr>
        <w:rPr/>
      </w:pPr>
      <w:r>
        <w:rPr/>
        <w:t>스마트시티 인프라 조성 및 시민참여 활성화가 포함된 전방위 지원 계획이다.</w:t>
      </w:r>
    </w:p>
    <w:p>
      <w:pPr>
        <w:spacing w:after="0" w:before="0"/>
        <w:rPr/>
      </w:pPr>
    </w:p>
    <w:p>
      <w:pPr>
        <w:rPr>
          <w:b/>
          <w:bCs/>
        </w:rPr>
      </w:pPr>
      <w:r>
        <w:rPr>
          <w:b/>
          <w:bCs/>
        </w:rPr>
        <w:t>세종시의 역할</w:t>
      </w:r>
      <w:r>
        <w:rPr>
          <w:b/>
          <w:bCs/>
        </w:rPr>
        <w:t>:</w:t>
      </w:r>
    </w:p>
    <w:p>
      <w:pPr>
        <w:rPr/>
      </w:pPr>
      <w:r>
        <w:rPr/>
        <w:t>세종시는 이미 '행복도시 스마트시티 추진계획(2017∼2030)'에 따라 로드맵을 진행 중이며, 이번 국가 시범도시 선정으로 사업을 더욱 활성화시킬 예정이다.</w:t>
      </w:r>
    </w:p>
    <w:p>
      <w:pPr>
        <w:spacing w:after="0" w:before="0"/>
        <w:rPr/>
      </w:pPr>
    </w:p>
    <w:p>
      <w:pPr>
        <w:rPr>
          <w:b/>
          <w:bCs/>
        </w:rPr>
      </w:pPr>
      <w:r>
        <w:rPr>
          <w:b/>
          <w:bCs/>
        </w:rPr>
        <w:t>5-1 생활권의 입지 및 특성</w:t>
      </w:r>
      <w:r>
        <w:rPr>
          <w:b/>
          <w:bCs/>
        </w:rPr>
        <w:t>:</w:t>
      </w:r>
    </w:p>
    <w:p>
      <w:pPr>
        <w:rPr/>
      </w:pPr>
      <w:r>
        <w:rPr/>
        <w:t>5-1 생활권은 교통 인프라와 정부세종청사, 대학, 연구단지, 산업단지 등이 인접한 지역으로, 다양한 기능이 융합된 자족도시 조성이 진행 중이다.</w:t>
      </w:r>
    </w:p>
    <w:p>
      <w:pPr>
        <w:spacing w:after="0" w:before="0"/>
        <w:rPr>
          <w:lang w:eastAsia="ko-KR"/>
          <w:rFonts w:hint="eastAsia"/>
          <w:rtl w:val="off"/>
        </w:rPr>
      </w:pPr>
    </w:p>
    <w:p>
      <w:pPr>
        <w:spacing w:after="0" w:before="0"/>
        <w:rPr>
          <w:lang w:eastAsia="ko-KR"/>
          <w:rFonts w:hint="eastAsia"/>
          <w:rtl w:val="off"/>
        </w:rPr>
      </w:pPr>
    </w:p>
    <w:p>
      <w:pPr>
        <w:spacing w:after="0" w:before="0"/>
        <w:rPr/>
      </w:pPr>
    </w:p>
    <w:p>
      <w:pPr>
        <w:rPr>
          <w:b/>
          <w:bCs/>
        </w:rPr>
      </w:pPr>
      <w:r>
        <w:rPr>
          <w:b/>
          <w:bCs/>
        </w:rPr>
        <w:t>스마트시티 구현 계획</w:t>
      </w:r>
      <w:r>
        <w:rPr>
          <w:b/>
          <w:bCs/>
        </w:rPr>
        <w:t>:</w:t>
      </w:r>
    </w:p>
    <w:p>
      <w:pPr>
        <w:rPr>
          <w:lang w:eastAsia="ko-KR"/>
          <w:rFonts w:hint="eastAsia"/>
          <w:rtl w:val="off"/>
        </w:rPr>
      </w:pPr>
      <w:r>
        <w:rPr/>
        <w:t>에너지, 교통, 생활 및 안전 분야에서 스마트시티를 조성하는 계획으로 에너지 관리 시스템, 자율주행 차, 스마트팜, 미세먼지 모니터링, AI 기술 등이 도입될 예정이다.</w:t>
      </w:r>
    </w:p>
    <w:p>
      <w:pPr>
        <w:rPr>
          <w:lang w:eastAsia="ko-KR"/>
          <w:rFonts w:hint="eastAsia"/>
          <w:rtl w:val="off"/>
        </w:rPr>
      </w:pPr>
      <w:r>
        <w:rPr/>
        <w:t>스마트시티 조성에 있어서는 신기술의 테스트베드 역할과 도심 문제 해결 및 삶의 질 제고를 목적으로 하며 데이터 기반의 운영으로 지원될 예정이다.</w:t>
      </w:r>
    </w:p>
    <w:p>
      <w:pPr>
        <w:rPr/>
      </w:pPr>
    </w:p>
    <w:p>
      <w:pPr>
        <w:rPr>
          <w:b/>
          <w:bCs/>
        </w:rPr>
      </w:pPr>
      <w:r>
        <w:rPr>
          <w:b/>
          <w:bCs/>
        </w:rPr>
        <w:t>스마트시티 7대 혁신변화</w:t>
      </w:r>
      <w:r>
        <w:rPr>
          <w:b/>
          <w:bCs/>
        </w:rPr>
        <w:t>:</w:t>
      </w:r>
    </w:p>
    <w:p>
      <w:pPr>
        <w:rPr/>
      </w:pPr>
      <w:r>
        <w:rPr/>
        <w:t>정부는 스마트시티를 민간 기업, 시민 등 다양한 수요자의 참여로 진행하여 신기술 테스트베드, 도시 문제 해결, 삶의 질 향상, 혁신 산업 생태계 조성을 목표로 한다.</w:t>
      </w:r>
    </w:p>
    <w:p>
      <w:pPr>
        <w:spacing w:after="0" w:before="0"/>
        <w:rPr/>
      </w:pPr>
    </w:p>
    <w:p>
      <w:pPr>
        <w:rPr>
          <w:b/>
          <w:bCs/>
        </w:rPr>
      </w:pPr>
      <w:r>
        <w:rPr>
          <w:b/>
          <w:bCs/>
        </w:rPr>
        <w:t>스마트시티의 중요성 강조</w:t>
      </w:r>
      <w:r>
        <w:rPr>
          <w:b/>
          <w:bCs/>
        </w:rPr>
        <w:t>:</w:t>
      </w:r>
    </w:p>
    <w:p>
      <w:pPr>
        <w:rPr/>
      </w:pPr>
      <w:r>
        <w:rPr/>
        <w:t>4차 산업혁명의 플랫폼으로 스마트시티가 중요하며, 시민 및 민간 참여를 통한 개방적 확장성이 필요하다고 강조하고 있다.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rPr>
          <w:b w:val="0"/>
          <w:bCs w:val="0"/>
          <w:szCs w:val="20"/>
        </w:rPr>
      </w:pP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</dc:creator>
  <cp:keywords/>
  <dc:description/>
  <cp:lastModifiedBy>kiman</cp:lastModifiedBy>
  <cp:revision>1</cp:revision>
  <dcterms:modified xsi:type="dcterms:W3CDTF">2023-09-09T09:02:47Z</dcterms:modified>
  <cp:version>1200.0100.01</cp:version>
</cp:coreProperties>
</file>