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Sheath applied voltage:</w:t>
      </w:r>
    </w:p>
    <w:p>
      <w:pPr>
        <w:pStyle w:val="Normal"/>
        <w:rPr>
          <w:b/>
          <w:b/>
          <w:bCs/>
        </w:rPr>
      </w:pPr>
      <w:r>
        <w:rPr>
          <w:b/>
          <w:bCs/>
        </w:rPr>
      </w:r>
    </w:p>
    <w:p>
      <w:pPr>
        <w:pStyle w:val="Normal"/>
        <w:rPr/>
      </w:pPr>
      <w:r>
        <w:rPr>
          <w:b/>
          <w:bCs/>
        </w:rPr>
        <w:t xml:space="preserve">General Test Case Description: </w:t>
      </w:r>
      <w:r>
        <w:rPr/>
        <w:t>A collisionless plasma is immersed next to an infinite conductive wall. The wall is negatively charged with respect to the bulk of the plasma. This repels the electrons from reaching the wall. Ions are attracted to the wall and populate the region in front of the wall, which negates the potential drop of the bulk with respect to the wall.  A small section of the wall and in front of the wall is simulated.</w:t>
      </w:r>
    </w:p>
    <w:p>
      <w:pPr>
        <w:pStyle w:val="Normal"/>
        <w:rPr>
          <w:b/>
          <w:b/>
          <w:bCs/>
        </w:rPr>
      </w:pPr>
      <w:r>
        <w:rPr>
          <w:b/>
          <w:bCs/>
        </w:rPr>
        <w:t xml:space="preserve">Simulation Parameters: </w:t>
      </w:r>
    </w:p>
    <w:p>
      <w:pPr>
        <w:pStyle w:val="ListParagraph"/>
        <w:numPr>
          <w:ilvl w:val="0"/>
          <w:numId w:val="2"/>
        </w:numPr>
        <w:rPr>
          <w:rFonts w:eastAsia="" w:eastAsiaTheme="minorEastAsia"/>
        </w:rPr>
      </w:pPr>
      <w:r>
        <w:rPr>
          <w:b/>
          <w:bCs/>
        </w:rPr>
        <w:t>Geometry: 6</w:t>
      </w:r>
      <w:r>
        <w:rPr/>
        <w:t>0*5*5 [λ_D] (Debye’s lengths = 3.08e-4 [m]) cube</w:t>
      </w:r>
      <w:r>
        <w:rPr>
          <w:rFonts w:eastAsia="Calibri" w:cs="Calibri"/>
        </w:rPr>
        <w:t>.</w:t>
      </w:r>
    </w:p>
    <w:p>
      <w:pPr>
        <w:pStyle w:val="ListParagraph"/>
        <w:numPr>
          <w:ilvl w:val="0"/>
          <w:numId w:val="2"/>
        </w:numPr>
        <w:rPr>
          <w:rFonts w:eastAsia="" w:eastAsiaTheme="minorEastAsia"/>
        </w:rPr>
      </w:pPr>
      <w:r>
        <w:rPr>
          <w:b/>
          <w:bCs/>
        </w:rPr>
        <w:t>Particles:</w:t>
      </w:r>
    </w:p>
    <w:p>
      <w:pPr>
        <w:pStyle w:val="ListParagraph"/>
        <w:numPr>
          <w:ilvl w:val="1"/>
          <w:numId w:val="2"/>
        </w:numPr>
        <w:rPr>
          <w:rFonts w:eastAsia="" w:eastAsiaTheme="minorEastAsia"/>
        </w:rPr>
      </w:pPr>
      <w:r>
        <w:rPr>
          <w:rFonts w:eastAsia="Calibri" w:cs="Calibri"/>
        </w:rPr>
        <w:t>Electron inflow</w:t>
      </w:r>
      <w:r>
        <w:rPr/>
        <w:t xml:space="preserve"> at x = 60 [λ_D]</w:t>
      </w:r>
      <w:r>
        <w:rPr>
          <w:rFonts w:eastAsia="Calibri" w:cs="Calibri"/>
        </w:rPr>
        <w:t xml:space="preserve">: </w:t>
      </w:r>
      <w:r>
        <w:rPr>
          <w:i/>
          <w:iCs/>
        </w:rPr>
        <w:t>nd</w:t>
      </w:r>
      <w:r>
        <w:rPr/>
        <w:t xml:space="preserve"> = 1e14 [m</w:t>
      </w:r>
      <w:r>
        <w:rPr>
          <w:rFonts w:eastAsia="" w:eastAsiaTheme="minorEastAsia"/>
          <w:vertAlign w:val="superscript"/>
        </w:rPr>
        <w:t xml:space="preserve"> -3</w:t>
      </w:r>
      <w:r>
        <w:rPr>
          <w:rFonts w:eastAsia="" w:eastAsiaTheme="minorEastAsia"/>
        </w:rPr>
        <w:t>]</w:t>
      </w:r>
      <w:r>
        <w:rPr/>
        <w:t xml:space="preserve">; </w:t>
      </w:r>
      <w:r>
        <w:rPr>
          <w:i/>
          <w:iCs/>
        </w:rPr>
        <w:t>T</w:t>
      </w:r>
      <w:r>
        <w:rPr/>
        <w:t xml:space="preserve"> = 116000 [K]; </w:t>
      </w:r>
      <w:r>
        <w:rPr>
          <w:i/>
          <w:iCs/>
        </w:rPr>
        <w:t>v_drift</w:t>
      </w:r>
      <w:r>
        <w:rPr/>
        <w:t xml:space="preserve"> = 0.</w:t>
      </w:r>
    </w:p>
    <w:p>
      <w:pPr>
        <w:pStyle w:val="ListParagraph"/>
        <w:numPr>
          <w:ilvl w:val="1"/>
          <w:numId w:val="2"/>
        </w:numPr>
        <w:rPr/>
      </w:pPr>
      <w:r>
        <w:rPr/>
        <w:t xml:space="preserve">Ion inflow at x = 60 [λ_D]: 1H+; </w:t>
      </w:r>
      <w:r>
        <w:rPr>
          <w:i/>
          <w:iCs/>
        </w:rPr>
        <w:t>nd</w:t>
      </w:r>
      <w:r>
        <w:rPr/>
        <w:t xml:space="preserve"> = 1e14 [m</w:t>
      </w:r>
      <w:r>
        <w:rPr>
          <w:rFonts w:eastAsia="" w:eastAsiaTheme="minorEastAsia"/>
          <w:vertAlign w:val="superscript"/>
        </w:rPr>
        <w:t xml:space="preserve"> -3</w:t>
      </w:r>
      <w:r>
        <w:rPr>
          <w:rFonts w:eastAsia="" w:eastAsiaTheme="minorEastAsia"/>
        </w:rPr>
        <w:t>]</w:t>
      </w:r>
      <w:r>
        <w:rPr/>
        <w:t xml:space="preserve">; </w:t>
      </w:r>
      <w:r>
        <w:rPr>
          <w:i/>
          <w:iCs/>
        </w:rPr>
        <w:t>T</w:t>
      </w:r>
      <w:r>
        <w:rPr/>
        <w:t xml:space="preserve"> = 200 [K]; </w:t>
      </w:r>
      <w:r>
        <w:rPr>
          <w:i/>
          <w:iCs/>
        </w:rPr>
        <w:t>v_drift</w:t>
      </w:r>
      <w:r>
        <w:rPr/>
        <w:t xml:space="preserve"> = Bohm velocity = -</w:t>
      </w:r>
      <w:r>
        <w:rPr>
          <w:i/>
          <w:iCs/>
        </w:rPr>
        <w:t>√k_b*T/m_p</w:t>
      </w:r>
      <w:r>
        <w:rPr/>
        <w:t xml:space="preserve"> = -4063.1 [m/s].-</w:t>
      </w:r>
      <w:r>
        <w:rPr>
          <w:rFonts w:eastAsia="" w:eastAsiaTheme="minorEastAsia"/>
        </w:rPr>
        <w:t>30936.4m/s.</w:t>
      </w:r>
    </w:p>
    <w:p>
      <w:pPr>
        <w:pStyle w:val="ListParagraph"/>
        <w:numPr>
          <w:ilvl w:val="0"/>
          <w:numId w:val="2"/>
        </w:numPr>
        <w:rPr>
          <w:rFonts w:eastAsia="" w:eastAsiaTheme="minorEastAsia"/>
        </w:rPr>
      </w:pPr>
      <w:r>
        <w:rPr>
          <w:rFonts w:eastAsia="" w:eastAsiaTheme="minorEastAsia"/>
          <w:b/>
          <w:bCs/>
        </w:rPr>
        <w:t xml:space="preserve">Chemistry: </w:t>
      </w:r>
      <w:r>
        <w:rPr>
          <w:rFonts w:eastAsia="" w:eastAsiaTheme="minorEastAsia"/>
        </w:rPr>
        <w:t>None.</w:t>
      </w:r>
    </w:p>
    <w:p>
      <w:pPr>
        <w:pStyle w:val="ListParagraph"/>
        <w:numPr>
          <w:ilvl w:val="0"/>
          <w:numId w:val="2"/>
        </w:numPr>
        <w:rPr>
          <w:rFonts w:eastAsia="" w:eastAsiaTheme="minorEastAsia"/>
        </w:rPr>
      </w:pPr>
      <w:r>
        <w:rPr>
          <w:rFonts w:eastAsia="" w:eastAsiaTheme="minorEastAsia"/>
          <w:b/>
          <w:bCs/>
        </w:rPr>
        <w:t>Background fields:</w:t>
      </w:r>
      <w:r>
        <w:rPr>
          <w:rFonts w:eastAsia="" w:eastAsiaTheme="minorEastAsia"/>
        </w:rPr>
        <w:t xml:space="preserve"> None.</w:t>
      </w:r>
    </w:p>
    <w:p>
      <w:pPr>
        <w:pStyle w:val="ListParagraph"/>
        <w:numPr>
          <w:ilvl w:val="0"/>
          <w:numId w:val="2"/>
        </w:numPr>
        <w:rPr>
          <w:rFonts w:eastAsia="" w:eastAsiaTheme="minorEastAsia"/>
        </w:rPr>
      </w:pPr>
      <w:r>
        <w:rPr>
          <w:rFonts w:eastAsia="" w:eastAsiaTheme="minorEastAsia"/>
          <w:b/>
          <w:bCs/>
        </w:rPr>
        <w:t>Particle boundary conditions:</w:t>
      </w:r>
    </w:p>
    <w:p>
      <w:pPr>
        <w:pStyle w:val="ListParagraph"/>
        <w:numPr>
          <w:ilvl w:val="1"/>
          <w:numId w:val="2"/>
        </w:numPr>
        <w:rPr>
          <w:rFonts w:eastAsia="" w:eastAsiaTheme="minorEastAsia"/>
        </w:rPr>
      </w:pPr>
      <w:r>
        <w:rPr>
          <w:rFonts w:eastAsia="" w:eastAsiaTheme="minorEastAsia"/>
        </w:rPr>
        <w:t>Wall x = 0.0: neutralization and electron absorption.</w:t>
      </w:r>
    </w:p>
    <w:p>
      <w:pPr>
        <w:pStyle w:val="ListParagraph"/>
        <w:numPr>
          <w:ilvl w:val="1"/>
          <w:numId w:val="2"/>
        </w:numPr>
        <w:rPr>
          <w:rFonts w:eastAsia="" w:eastAsiaTheme="minorEastAsia"/>
        </w:rPr>
      </w:pPr>
      <w:r>
        <w:rPr>
          <w:rFonts w:eastAsia="" w:eastAsiaTheme="minorEastAsia"/>
        </w:rPr>
        <w:t>Wall x = 60</w:t>
      </w:r>
      <w:r>
        <w:rPr/>
        <w:t xml:space="preserve"> [λ_D]: outflow.</w:t>
      </w:r>
    </w:p>
    <w:p>
      <w:pPr>
        <w:pStyle w:val="ListParagraph"/>
        <w:numPr>
          <w:ilvl w:val="0"/>
          <w:numId w:val="2"/>
        </w:numPr>
        <w:rPr/>
      </w:pPr>
      <w:r>
        <w:rPr>
          <w:b/>
          <w:bCs/>
        </w:rPr>
        <w:t>Electrostatic boundary conditions:</w:t>
      </w:r>
    </w:p>
    <w:p>
      <w:pPr>
        <w:pStyle w:val="ListParagraph"/>
        <w:numPr>
          <w:ilvl w:val="1"/>
          <w:numId w:val="2"/>
        </w:numPr>
        <w:rPr>
          <w:rFonts w:eastAsia="" w:eastAsiaTheme="minorEastAsia"/>
        </w:rPr>
      </w:pPr>
      <w:r>
        <w:rPr>
          <w:rFonts w:eastAsia="" w:eastAsiaTheme="minorEastAsia"/>
        </w:rPr>
        <w:t>Wall at x = 0: Dirichlet (-20 [V] potential).</w:t>
      </w:r>
    </w:p>
    <w:p>
      <w:pPr>
        <w:pStyle w:val="ListParagraph"/>
        <w:numPr>
          <w:ilvl w:val="1"/>
          <w:numId w:val="2"/>
        </w:numPr>
        <w:rPr>
          <w:rFonts w:eastAsia="" w:eastAsiaTheme="minorEastAsia"/>
        </w:rPr>
      </w:pPr>
      <w:r>
        <w:rPr>
          <w:rFonts w:eastAsia="" w:eastAsiaTheme="minorEastAsia"/>
        </w:rPr>
        <w:t>Wall at x = 60 [</w:t>
      </w:r>
      <w:r>
        <w:rPr/>
        <w:t>λ_D</w:t>
      </w:r>
      <w:r>
        <w:rPr>
          <w:rFonts w:eastAsia="" w:eastAsiaTheme="minorEastAsia"/>
        </w:rPr>
        <w:t>]: Dirichlet (0 [V] potential).</w:t>
      </w:r>
    </w:p>
    <w:p>
      <w:pPr>
        <w:pStyle w:val="ListParagraph"/>
        <w:numPr>
          <w:ilvl w:val="1"/>
          <w:numId w:val="2"/>
        </w:numPr>
        <w:rPr>
          <w:rFonts w:eastAsia="" w:eastAsiaTheme="minorEastAsia"/>
        </w:rPr>
      </w:pPr>
      <w:r>
        <w:rPr/>
        <w:t>Other side walls: Neumann (0 [V/m] gradient on potential)</w:t>
      </w:r>
      <w:r>
        <w:rPr>
          <w:rFonts w:eastAsia="Calibri" w:cs="Calibri"/>
        </w:rPr>
        <w:t>.</w:t>
      </w:r>
    </w:p>
    <w:p>
      <w:pPr>
        <w:pStyle w:val="ListParagraph"/>
        <w:numPr>
          <w:ilvl w:val="0"/>
          <w:numId w:val="1"/>
        </w:numPr>
        <w:rPr>
          <w:rFonts w:eastAsia="" w:eastAsiaTheme="minorEastAsia"/>
        </w:rPr>
      </w:pPr>
      <w:r>
        <w:rPr>
          <w:rFonts w:eastAsia="" w:eastAsiaTheme="minorEastAsia"/>
          <w:b/>
          <w:bCs/>
        </w:rPr>
        <w:t xml:space="preserve">Time discr.: </w:t>
      </w:r>
      <w:r>
        <w:rPr>
          <w:i/>
          <w:iCs/>
        </w:rPr>
        <w:t>Δt</w:t>
      </w:r>
      <w:r>
        <w:rPr/>
        <w:t xml:space="preserve"> = 8.86e-11 [s]; </w:t>
      </w:r>
      <w:r>
        <w:rPr>
          <w:rFonts w:eastAsia="Calibri" w:cs="Calibri"/>
        </w:rPr>
        <w:t>Iterations: 70000.</w:t>
      </w:r>
    </w:p>
    <w:p>
      <w:pPr>
        <w:pStyle w:val="ListParagraph"/>
        <w:numPr>
          <w:ilvl w:val="0"/>
          <w:numId w:val="1"/>
        </w:numPr>
        <w:rPr>
          <w:rFonts w:eastAsia="" w:eastAsiaTheme="minorEastAsia"/>
        </w:rPr>
      </w:pPr>
      <w:r>
        <w:rPr>
          <w:rFonts w:eastAsia="Calibri" w:cs="Calibri"/>
          <w:b/>
          <w:bCs/>
        </w:rPr>
        <w:t>Miscellaneous:</w:t>
      </w:r>
      <w:r>
        <w:rPr>
          <w:rFonts w:eastAsia="Calibri" w:cs="Calibri"/>
        </w:rPr>
        <w:t xml:space="preserve"> </w:t>
      </w:r>
    </w:p>
    <w:p>
      <w:pPr>
        <w:pStyle w:val="ListParagraph"/>
        <w:numPr>
          <w:ilvl w:val="1"/>
          <w:numId w:val="2"/>
        </w:numPr>
        <w:rPr>
          <w:rFonts w:eastAsia="" w:eastAsiaTheme="minorEastAsia"/>
        </w:rPr>
      </w:pPr>
      <w:r>
        <w:rPr>
          <w:b/>
          <w:bCs/>
        </w:rPr>
        <w:t xml:space="preserve">Diagnostic points: </w:t>
      </w:r>
      <w:r>
        <w:rPr>
          <w:rFonts w:eastAsia="Calibri" w:cs="Calibri"/>
        </w:rPr>
        <w:t xml:space="preserve">equally spaced in the xy-plane at </w:t>
      </w:r>
      <w:r>
        <w:rPr>
          <w:rFonts w:eastAsia="Calibri" w:cs="Calibri"/>
          <w:i/>
          <w:iCs/>
        </w:rPr>
        <w:t xml:space="preserve">z </w:t>
      </w:r>
      <w:r>
        <w:rPr>
          <w:rFonts w:eastAsia="Calibri" w:cs="Calibri"/>
        </w:rPr>
        <w:t>= 0.</w:t>
      </w:r>
    </w:p>
    <w:p>
      <w:pPr>
        <w:pStyle w:val="Normal"/>
        <w:rPr>
          <w:b/>
          <w:b/>
          <w:bCs/>
        </w:rPr>
      </w:pPr>
      <w:r>
        <w:rPr>
          <w:b/>
          <w:bCs/>
        </w:rPr>
        <w:t>Post-processing computed results:</w:t>
      </w:r>
    </w:p>
    <w:p>
      <w:pPr>
        <w:pStyle w:val="ListParagraph"/>
        <w:numPr>
          <w:ilvl w:val="0"/>
          <w:numId w:val="3"/>
        </w:numPr>
        <w:rPr>
          <w:rFonts w:eastAsia="" w:eastAsiaTheme="minorEastAsia"/>
        </w:rPr>
      </w:pPr>
      <w:r>
        <w:rPr>
          <w:rFonts w:eastAsia="" w:eastAsiaTheme="minorEastAsia"/>
        </w:rPr>
        <w:t>Plot average of potential and electric field in the xy-plane after obtention of the steady state.</w:t>
      </w:r>
    </w:p>
    <w:p>
      <w:pPr>
        <w:pStyle w:val="Normal"/>
        <w:rPr>
          <w:b/>
          <w:b/>
          <w:bCs/>
        </w:rPr>
      </w:pPr>
      <w:r>
        <w:rPr>
          <w:b/>
          <w:bCs/>
        </w:rPr>
        <w:t xml:space="preserve">Obtaining the comparison result: </w:t>
      </w:r>
    </w:p>
    <w:p>
      <w:pPr>
        <w:pStyle w:val="Normal"/>
        <w:widowControl/>
        <w:spacing w:lineRule="auto" w:line="259" w:before="0" w:after="160"/>
        <w:rPr/>
      </w:pPr>
      <w:r>
        <w:rPr>
          <w:rFonts w:eastAsia="" w:eastAsiaTheme="minorEastAsia"/>
        </w:rPr>
        <w:t>Numerical evaluation of the analytical sheath potential, r</w:t>
      </w:r>
      <w:r>
        <w:rPr>
          <w:rFonts w:eastAsia="Calibri" w:cs="Calibri"/>
        </w:rPr>
        <w:t xml:space="preserve">ef.: </w:t>
      </w:r>
      <w:r>
        <w:rPr>
          <w:rFonts w:eastAsia="Calibri" w:cs="Calibri"/>
          <w:i/>
          <w:iCs/>
        </w:rPr>
        <w:t>Principles of plasma discharges and materials processing</w:t>
      </w:r>
      <w:r>
        <w:rPr>
          <w:rFonts w:eastAsia="Calibri" w:cs="Calibri"/>
        </w:rPr>
        <w:t>, p168.</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7f0b"/>
    <w:pPr>
      <w:widowControl w:val="fals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e7f0b"/>
    <w:rPr>
      <w:color w:val="0563C1" w:themeColor="hyperlink"/>
      <w:u w:val="single"/>
    </w:rPr>
  </w:style>
  <w:style w:type="character" w:styleId="FollowedHyperlink">
    <w:name w:val="FollowedHyperlink"/>
    <w:basedOn w:val="DefaultParagraphFont"/>
    <w:uiPriority w:val="99"/>
    <w:semiHidden/>
    <w:unhideWhenUsed/>
    <w:qFormat/>
    <w:rsid w:val="001e7f0b"/>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7f0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1</Pages>
  <Words>267</Words>
  <Characters>1299</Characters>
  <CharactersWithSpaces>1530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2021-12-22T09:23:00Z</dcterms:created>
  <dc:creator>Sander Rouwette</dc:creator>
  <dc:description/>
  <dc:language>en-US</dc:language>
  <cp:lastModifiedBy/>
  <dcterms:modified xsi:type="dcterms:W3CDTF">2022-01-16T15:11:47Z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