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DSRT-734 Final Comprehensive Exam - Answers</w:t>
      </w:r>
    </w:p>
    <w:p>
      <w:pPr>
        <w:jc w:val="center"/>
      </w:pPr>
      <w:r>
        <w:rPr>
          <w:sz w:val="24"/>
          <w:szCs w:val="24"/>
        </w:rPr>
        <w:t xml:space="preserve">Student: Srinath Jagarlamudi</w:t>
      </w:r>
    </w:p>
    <w:p>
      <w:pPr>
        <w:jc w:val="center"/>
      </w:pPr>
      <w:r>
        <w:rPr>
          <w:sz w:val="24"/>
          <w:szCs w:val="24"/>
        </w:rPr>
        <w:t xml:space="preserve">Course: DSRT-734-M51 - Inferential Statistics in Decision-Making</w:t>
      </w:r>
    </w:p>
    <w:p>
      <w:pPr>
        <w:jc w:val="center"/>
      </w:pPr>
      <w:r>
        <w:rPr>
          <w:sz w:val="24"/>
          <w:szCs w:val="24"/>
        </w:rPr>
        <w:t xml:space="preserve">Date: December 11, 2025</w:t>
      </w:r>
    </w:p>
    <w:p>
      <w:pPr>
        <w:spacing w:after="400"/>
        <w:jc w:val="center"/>
      </w:pPr>
      <w:r>
        <w:rPr>
          <w:sz w:val="24"/>
          <w:szCs w:val="24"/>
        </w:rPr>
        <w:t xml:space="preserve">Total Points: 200 points</w:t>
      </w:r>
    </w:p>
    <w:p>
      <w:pPr>
        <w:pStyle w:val="Heading1"/>
      </w:pPr>
      <w:r>
        <w:t xml:space="preserve">Question 1 (20 Points) - MULTIPLE CHOICE</w:t>
      </w:r>
    </w:p>
    <w:p>
      <w:pPr>
        <w:pStyle w:val="Heading2"/>
      </w:pPr>
      <w:r>
        <w:t xml:space="preserve">Answer: Option B</w:t>
      </w:r>
    </w:p>
    <w:p>
      <w:pPr>
        <w:spacing w:after="120"/>
      </w:pPr>
      <w:r>
        <w:rPr>
          <w:i/>
          <w:iCs/>
        </w:rPr>
        <w:t xml:space="preserve">"Team Green is significantly different from Team Blue and Red, but Team Blue is not significantly different from Team Red."</w:t>
      </w:r>
    </w:p>
    <w:p>
      <w:pPr>
        <w:pStyle w:val="Heading2"/>
      </w:pPr>
      <w:r>
        <w:t xml:space="preserve">Rationale:</w:t>
      </w:r>
    </w:p>
    <w:p>
      <w:r>
        <w:t xml:space="preserve">From the Post-Hoc Comparisons table (Bonferroni adjusted):</w:t>
      </w:r>
    </w:p>
    <w:p>
      <w:r>
        <w:t xml:space="preserve">• Blue vs Green: p = 0.021 → Significant (p &lt; 0.05)</w:t>
      </w:r>
    </w:p>
    <w:p>
      <w:r>
        <w:t xml:space="preserve">• Blue vs Red: p = 1.000 → Not significant (p &gt; 0.05)</w:t>
      </w:r>
    </w:p>
    <w:p>
      <w:pPr>
        <w:spacing w:after="240"/>
      </w:pPr>
      <w:r>
        <w:t xml:space="preserve">• Green vs Red: p = 0.046 → Significant (p &lt; 0.05)</w:t>
      </w:r>
    </w:p>
    <w:p>
      <w:pPr>
        <w:pStyle w:val="Heading1"/>
      </w:pPr>
      <w:r>
        <w:t xml:space="preserve">Question 2 (20 Points) - ESSAY</w:t>
      </w:r>
    </w:p>
    <w:p>
      <w:pPr>
        <w:pStyle w:val="Heading2"/>
      </w:pPr>
      <w:r>
        <w:t xml:space="preserve">APA Conclusion:</w:t>
      </w:r>
    </w:p>
    <w:p>
      <w:pPr>
        <w:spacing w:after="240"/>
      </w:pPr>
      <w:r>
        <w:t xml:space="preserve">A paired samples t-test was conducted to compare hours spent studying and hours spent watching TV. Results revealed no statistically significant difference between study hours (M = 2.94, SD = 3.29) and TV hours (M = 2.59, SD = 2.15), t(254) = 1.714, p = .088. The difference between time spent studying and watching television was not statistically significant at the α = .05 level.</w:t>
      </w:r>
    </w:p>
    <w:p>
      <w:pPr>
        <w:pStyle w:val="Heading1"/>
      </w:pPr>
      <w:r>
        <w:t xml:space="preserve">Question 3 (20 Points) - MULTIPLE CHOICE</w:t>
      </w:r>
    </w:p>
    <w:p>
      <w:pPr>
        <w:pStyle w:val="Heading2"/>
      </w:pPr>
      <w:r>
        <w:t xml:space="preserve">Answer: Option D - Pearson's correlation</w:t>
      </w:r>
    </w:p>
    <w:p>
      <w:pPr>
        <w:pStyle w:val="Heading2"/>
      </w:pPr>
      <w:r>
        <w:t xml:space="preserve">Rationale:</w:t>
      </w:r>
    </w:p>
    <w:p>
      <w:r>
        <w:t xml:space="preserve">The scatterplot shows two continuous variables with a linear relationship, making Pearson's correlation the most appropriate test. Chi-square is for categorical data, and independent t-test compares group means rather than analyzing correlation.</w:t>
      </w:r>
    </w:p>
    <w:p>
      <w:pPr>
        <w:spacing w:after="240"/>
      </w:pPr>
    </w:p>
    <w:p>
      <w:pPr>
        <w:pStyle w:val="Heading1"/>
      </w:pPr>
      <w:r>
        <w:t xml:space="preserve">Question 4 (20 Points) - MULTIPLE CHOICE</w:t>
      </w:r>
    </w:p>
    <w:p>
      <w:pPr>
        <w:pStyle w:val="Heading2"/>
      </w:pPr>
      <w:r>
        <w:t xml:space="preserve">Answer: Option A - (t[47.84]=2.276, p=0.027)</w:t>
      </w:r>
    </w:p>
    <w:p>
      <w:pPr>
        <w:pStyle w:val="Heading2"/>
      </w:pPr>
      <w:r>
        <w:t xml:space="preserve">Rationale:</w:t>
      </w:r>
    </w:p>
    <w:p>
      <w:r>
        <w:t xml:space="preserve">Key: Levene's test p = 0.044 (significant at α = 0.05)</w:t>
      </w:r>
    </w:p>
    <w:p>
      <w:r>
        <w:t xml:space="preserve">• Significant Levene's test means variances are NOT equal</w:t>
      </w:r>
    </w:p>
    <w:p>
      <w:r>
        <w:t xml:space="preserve">• Must use Welch's t-test (not Student's t)</w:t>
      </w:r>
    </w:p>
    <w:p>
      <w:pPr>
        <w:spacing w:after="240"/>
      </w:pPr>
      <w:r>
        <w:t xml:space="preserve">• Welch's row shows: t = 2.276, df = 47.836, p = 0.027</w:t>
      </w:r>
    </w:p>
    <w:p>
      <w:pPr>
        <w:pStyle w:val="Heading1"/>
      </w:pPr>
      <w:r>
        <w:t xml:space="preserve">Question 5 (25 Points) - JASP ANALYSIS</w:t>
      </w:r>
    </w:p>
    <w:p>
      <w:pPr>
        <w:pStyle w:val="Heading2"/>
      </w:pPr>
      <w:r>
        <w:t xml:space="preserve">Descriptive Statistics:</w:t>
      </w:r>
    </w:p>
    <w:p>
      <w:pPr>
        <w:spacing w:after="120"/>
      </w:pPr>
      <w:r>
        <w:t xml:space="preserve">Descriptive statistics were calculated for scores of two teams (N = 50 each).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2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BlueTeam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72.60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74.00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14.96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99.00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72.94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68.50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21.18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110.00</w:t>
            </w:r>
          </w:p>
        </w:tc>
      </w:tr>
    </w:tbl>
    <w:p>
      <w:pPr>
        <w:spacing w:before="120" w:after="240"/>
      </w:pPr>
      <w:r>
        <w:t xml:space="preserve">The Blue Team and Red Team have nearly identical mean scores (72.60 vs 72.94). However, the Red Team shows greater variability (SD = 21.18) compared to the Blue Team (SD = 14.96), with a wider range of scores (41-110 vs 50-99).</w:t>
      </w:r>
    </w:p>
    <w:p>
      <w:pPr>
        <w:pStyle w:val="Heading1"/>
      </w:pPr>
      <w:r>
        <w:t xml:space="preserve">Question 6 (20 Points) - MULTIPLE CHOICE</w:t>
      </w:r>
    </w:p>
    <w:p>
      <w:pPr>
        <w:pStyle w:val="Heading2"/>
      </w:pPr>
      <w:r>
        <w:t xml:space="preserve">Answer: Option B - p = 0.273</w:t>
      </w:r>
    </w:p>
    <w:p>
      <w:pPr>
        <w:pStyle w:val="Heading2"/>
      </w:pPr>
      <w:r>
        <w:t xml:space="preserve">Rationale:</w:t>
      </w:r>
    </w:p>
    <w:p>
      <w:r>
        <w:t xml:space="preserve">• Small sample size (N = 31)</w:t>
      </w:r>
    </w:p>
    <w:p>
      <w:r>
        <w:t xml:space="preserve">• Some expected counts may be &lt; 5</w:t>
      </w:r>
    </w:p>
    <w:p>
      <w:r>
        <w:t xml:space="preserve">• Fisher's exact test is more appropriate for small samples</w:t>
      </w:r>
    </w:p>
    <w:p>
      <w:pPr>
        <w:spacing w:after="240"/>
      </w:pPr>
      <w:r>
        <w:t xml:space="preserve">• From the output, Fisher's exact test p = 0.273</w:t>
      </w:r>
    </w:p>
    <w:p>
      <w:pPr>
        <w:pStyle w:val="Heading1"/>
      </w:pPr>
      <w:r>
        <w:t xml:space="preserve">Question 7 (30 Points) - JASP ANALYSIS</w:t>
      </w:r>
    </w:p>
    <w:p>
      <w:pPr>
        <w:pStyle w:val="Heading2"/>
      </w:pPr>
      <w:r>
        <w:t xml:space="preserve">JASP Output - Paired Samples T-Test:</w:t>
      </w:r>
    </w:p>
    <w:p>
      <w:pPr>
        <w:spacing w:after="80"/>
      </w:pPr>
      <w:r>
        <w:rPr>
          <w:b/>
          <w:bCs/>
        </w:rPr>
        <w:t xml:space="preserve">Descriptive Statistics: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Score1 (Pre-training)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94.98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6.59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Score2 (Post-training)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98.14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8.49</w:t>
            </w:r>
          </w:p>
        </w:tc>
      </w:tr>
    </w:tbl>
    <w:p>
      <w:pPr>
        <w:spacing w:before="120" w:after="80"/>
      </w:pPr>
      <w:r>
        <w:rPr>
          <w:b/>
          <w:bCs/>
        </w:rPr>
        <w:t xml:space="preserve">Test 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Mean Difference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-3.16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t-statistic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-2.073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Degrees of Freedom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p-value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0.043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Cohen's 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0.416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95% 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[-6.22, -0.10]</w:t>
            </w:r>
          </w:p>
        </w:tc>
      </w:tr>
    </w:tbl>
    <w:p>
      <w:pPr>
        <w:spacing w:before="120"/>
      </w:pPr>
      <w:r>
        <w:rPr>
          <w:b/>
          <w:bCs/>
        </w:rPr>
        <w:t xml:space="preserve">APA Conclusion:</w:t>
      </w:r>
    </w:p>
    <w:p>
      <w:pPr>
        <w:spacing w:after="240"/>
      </w:pPr>
      <w:r>
        <w:t xml:space="preserve">A paired samples t-test was conducted to compare employee knowledge scores before (Score1) and after (Score2) a training program for 50 employees. There was a statistically significant difference between pre-training scores (M = 94.98, SD = 6.59) and post-training scores (M = 98.14, SD = 8.49), t(49) = -2.07, p = .043. The mean increase of 3.16 points represents a small effect size (Cohen's d = 0.42). These results suggest that the training program was effective in improving employee product knowledge.</w:t>
      </w:r>
    </w:p>
    <w:p>
      <w:pPr>
        <w:pStyle w:val="Heading1"/>
      </w:pPr>
      <w:r>
        <w:t xml:space="preserve">Question 8 (15 Points) - ESSAY</w:t>
      </w:r>
    </w:p>
    <w:p>
      <w:pPr>
        <w:spacing w:after="80"/>
      </w:pPr>
      <w:r>
        <w:rPr>
          <w:b/>
          <w:bCs/>
        </w:rPr>
        <w:t xml:space="preserve">1. Research Question:</w:t>
      </w:r>
    </w:p>
    <w:p>
      <w:r>
        <w:t xml:space="preserve">Is there a significant difference in loan processing time between automated AI-based underwriting systems versus traditional manual underwriting in mortgage applications?</w:t>
      </w:r>
    </w:p>
    <w:p>
      <w:pPr>
        <w:spacing w:before="120" w:after="80"/>
      </w:pPr>
      <w:r>
        <w:rPr>
          <w:b/>
          <w:bCs/>
        </w:rPr>
        <w:t xml:space="preserve">2. Data Collection:</w:t>
      </w:r>
    </w:p>
    <w:p>
      <w:r>
        <w:t xml:space="preserve">I would gather loan processing time data (measured in hours from application submission to underwriting decision) for two independent groups of mortgage applications:</w:t>
      </w:r>
    </w:p>
    <w:p>
      <w:r>
        <w:t xml:space="preserve">• Group 1: Loans processed through AI-based automated underwriting (n = 50)</w:t>
      </w:r>
    </w:p>
    <w:p>
      <w:r>
        <w:t xml:space="preserve">• Group 2: Loans processed through traditional manual underwriting (n = 50)</w:t>
      </w:r>
    </w:p>
    <w:p>
      <w:r>
        <w:t xml:space="preserve">Data would be randomly sampled from mortgage processing records at my organization, Lakeview Loan Servicing.</w:t>
      </w:r>
    </w:p>
    <w:p>
      <w:pPr>
        <w:spacing w:before="120" w:after="80"/>
      </w:pPr>
      <w:r>
        <w:rPr>
          <w:b/>
          <w:bCs/>
        </w:rPr>
        <w:t xml:space="preserve">3. Statistical Test:</w:t>
      </w:r>
    </w:p>
    <w:p>
      <w:r>
        <w:t xml:space="preserve">Independent samples t-test would be the most appropriate test because:</w:t>
      </w:r>
    </w:p>
    <w:p>
      <w:r>
        <w:t xml:space="preserve">• We are comparing means of a continuous dependent variable (processing time)</w:t>
      </w:r>
    </w:p>
    <w:p>
      <w:r>
        <w:t xml:space="preserve">• There are two independent groups (AI vs. traditional underwriting)</w:t>
      </w:r>
    </w:p>
    <w:p>
      <w:r>
        <w:t xml:space="preserve">• Observations are independent between groups</w:t>
      </w:r>
    </w:p>
    <w:p>
      <w:pPr>
        <w:spacing w:before="120" w:after="80"/>
      </w:pPr>
      <w:r>
        <w:rPr>
          <w:b/>
          <w:bCs/>
        </w:rPr>
        <w:t xml:space="preserve">4. Interpretation if Significant:</w:t>
      </w:r>
    </w:p>
    <w:p>
      <w:pPr>
        <w:spacing w:after="240"/>
      </w:pPr>
      <w:r>
        <w:t xml:space="preserve">If p &lt; 0.05, we would reject the null hypothesis and conclude there is a statistically significant difference in processing times between the two underwriting methods. This would indicate that the underwriting approach (AI vs. traditional) has a meaningful impact on operational efficiency. For example, if AI-underwritten loans showed significantly shorter processing times, this would provide evidence supporting increased investment in automated underwriting technology to improve loan servicing operations.</w:t>
      </w:r>
    </w:p>
    <w:p>
      <w:pPr>
        <w:pStyle w:val="Heading1"/>
      </w:pPr>
      <w:r>
        <w:t xml:space="preserve">Question 9 (30 Points) - JASP ANALYSIS</w:t>
      </w:r>
    </w:p>
    <w:p>
      <w:pPr>
        <w:pStyle w:val="Heading2"/>
      </w:pPr>
      <w:r>
        <w:t xml:space="preserve">JASP Output - Chi-Square Test of Independence:</w:t>
      </w:r>
    </w:p>
    <w:p>
      <w:pPr>
        <w:spacing w:after="80"/>
      </w:pPr>
      <w:r>
        <w:rPr>
          <w:b/>
          <w:bCs/>
        </w:rPr>
        <w:t xml:space="preserve">Observed Frequencies: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Disease=0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Disease=1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Gender=0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Gender=1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</w:tbl>
    <w:p>
      <w:pPr>
        <w:spacing w:before="120" w:after="80"/>
      </w:pPr>
      <w:r>
        <w:rPr>
          <w:b/>
          <w:bCs/>
        </w:rPr>
        <w:t xml:space="preserve">Expected Frequencies: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Disease=0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Disease=1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Gender=0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8.64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6.36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Gender=1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10.36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7.64</w:t>
            </w:r>
          </w:p>
        </w:tc>
      </w:tr>
    </w:tbl>
    <w:p>
      <w:pPr>
        <w:spacing w:before="120" w:after="80"/>
      </w:pPr>
      <w:r>
        <w:rPr>
          <w:b/>
          <w:bCs/>
        </w:rPr>
        <w:t xml:space="preserve">Test 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Chi-square (χ²)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Degrees of Freedom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p-value (Chi-square)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p-value (Fisher's exact)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Minimum expected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6.36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Sample size 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33</w:t>
            </w:r>
          </w:p>
        </w:tc>
      </w:tr>
    </w:tbl>
    <w:p>
      <w:pPr>
        <w:spacing w:before="120"/>
      </w:pPr>
      <w:r>
        <w:rPr>
          <w:b/>
          <w:bCs/>
        </w:rPr>
        <w:t xml:space="preserve">APA Conclusion:</w:t>
      </w:r>
    </w:p>
    <w:p>
      <w:pPr>
        <w:spacing w:after="240"/>
      </w:pPr>
      <w:r>
        <w:t xml:space="preserve">A chi-square test of independence was conducted to examine whether the prevalence of chronic disease differed between genders. The sample included 33 participants. The chi-square test revealed no statistically significant association between gender and disease status, χ²(1, N = 33) = 0.00, p = 1.000. Fisher's exact test confirmed this finding (p = 1.000). The results indicate that chronic disease prevalence did not differ significantly between males and females in this sample. The proportion of individuals with the disease was similar across both genders.</w:t>
      </w:r>
    </w:p>
    <w:p>
      <w:pPr>
        <w:pStyle w:val="Heading1"/>
      </w:pPr>
      <w:r>
        <w:t xml:space="preserve">Summary of Answers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500"/>
        <w:gridCol w:w="3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Multiple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Option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Essay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APA conclusion (not significant, p = .088)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Multiple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Option 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Multiple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Option 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JASP Essay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Descriptive stats for both teams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Multiple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Option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JASP Essay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Paired t-test (significant, p = .043)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Essay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Research design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JASP Essay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Chi-square (not significant, p = 1.000)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/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/>
        </w:tc>
      </w:tr>
    </w:tbl>
    <w:p>
      <w:pPr>
        <w:spacing w:before="240"/>
        <w:jc w:val="center"/>
      </w:pPr>
      <w:r>
        <w:rPr>
          <w:i/>
          <w:iCs/>
        </w:rPr>
        <w:t xml:space="preserve">Prepared for review before manual submission to Blackboard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DSRT-734 Final Exam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2025-12-12T03:55:49.774Z</dcterms:created>
  <dcterms:modified xsi:type="dcterms:W3CDTF">2025-12-12T03:55:49.775Z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