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240" w:before="0"/>
        <w:jc w:val="center"/>
      </w:pPr>
      <w:r>
        <w:t xml:space="preserve">Journal Article Review: The Role of Technology in Mortgage Lending</w:t>
      </w:r>
      <w:r>
        <w:rPr>
          <w:rFonts w:ascii="Times New Roman" w:cs="Times New Roman" w:eastAsia="Times New Roman" w:hAnsi="Times New Roman"/>
          <w:b/>
          <w:bCs/>
          <w:sz w:val="24"/>
          <w:szCs w:val="24"/>
        </w:rPr>
        <w:t xml:space="preserve">Journal Article Review: The Role of Technology in Mortgage Lending</w:t>
      </w:r>
    </w:p>
    <w:p>
      <w:pPr>
        <w:spacing w:after="0" w:before="0"/>
        <w:jc w:val="center"/>
      </w:pPr>
      <w:r>
        <w:rPr>
          <w:rFonts w:ascii="Times New Roman" w:cs="Times New Roman" w:eastAsia="Times New Roman" w:hAnsi="Times New Roman"/>
          <w:b/>
          <w:bCs/>
          <w:sz w:val="24"/>
          <w:szCs w:val="24"/>
        </w:rPr>
        <w:t xml:space="preserve">Student:</w:t>
      </w:r>
      <w:r>
        <w:rPr>
          <w:rFonts w:ascii="Times New Roman" w:cs="Times New Roman" w:eastAsia="Times New Roman" w:hAnsi="Times New Roman"/>
          <w:sz w:val="24"/>
          <w:szCs w:val="24"/>
        </w:rPr>
        <w:t xml:space="preserve"> Srinath Jagarlamudi</w:t>
      </w:r>
    </w:p>
    <w:p>
      <w:pPr>
        <w:spacing w:after="0" w:before="0"/>
        <w:jc w:val="center"/>
      </w:pPr>
      <w:r>
        <w:rPr>
          <w:rFonts w:ascii="Times New Roman" w:cs="Times New Roman" w:eastAsia="Times New Roman" w:hAnsi="Times New Roman"/>
          <w:b/>
          <w:bCs/>
          <w:sz w:val="24"/>
          <w:szCs w:val="24"/>
        </w:rPr>
        <w:t xml:space="preserve">Course:</w:t>
      </w:r>
      <w:r>
        <w:rPr>
          <w:rFonts w:ascii="Times New Roman" w:cs="Times New Roman" w:eastAsia="Times New Roman" w:hAnsi="Times New Roman"/>
          <w:sz w:val="24"/>
          <w:szCs w:val="24"/>
        </w:rPr>
        <w:t xml:space="preserve"> DSRT-734-M51 - Infer Stats in Decision-Making</w:t>
      </w:r>
    </w:p>
    <w:p>
      <w:pPr>
        <w:spacing w:after="0" w:before="0"/>
        <w:jc w:val="center"/>
      </w:pPr>
      <w:r>
        <w:rPr>
          <w:rFonts w:ascii="Times New Roman" w:cs="Times New Roman" w:eastAsia="Times New Roman" w:hAnsi="Times New Roman"/>
          <w:b/>
          <w:bCs/>
          <w:sz w:val="24"/>
          <w:szCs w:val="24"/>
        </w:rPr>
        <w:t xml:space="preserve">Term:</w:t>
      </w:r>
      <w:r>
        <w:rPr>
          <w:rFonts w:ascii="Times New Roman" w:cs="Times New Roman" w:eastAsia="Times New Roman" w:hAnsi="Times New Roman"/>
          <w:sz w:val="24"/>
          <w:szCs w:val="24"/>
        </w:rPr>
        <w:t xml:space="preserve"> 2025 Fall</w:t>
      </w:r>
    </w:p>
    <w:p>
      <w:pPr>
        <w:spacing w:after="120" w:before="240"/>
      </w:pPr>
      <w:r>
        <w:rPr>
          <w:rFonts w:ascii="Times New Roman" w:cs="Times New Roman" w:eastAsia="Times New Roman" w:hAnsi="Times New Roman"/>
          <w:b/>
          <w:bCs/>
          <w:sz w:val="24"/>
          <w:szCs w:val="24"/>
        </w:rPr>
        <w:t xml:space="preserve">Article Reviewed:</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Fuster, A., Plosser, </w:t>
      </w:r>
      <w:r>
        <w:rPr>
          <w:rFonts w:ascii="Times New Roman" w:cs="Times New Roman" w:eastAsia="Times New Roman" w:hAnsi="Times New Roman"/>
          <w:b w:val="false"/>
          <w:bCs w:val="false"/>
          <w:i/>
          <w:iCs/>
          <w:sz w:val="24"/>
          <w:szCs w:val="24"/>
        </w:rPr>
        <w:t xml:space="preserve">M</w:t>
      </w:r>
      <w:r>
        <w:rPr>
          <w:rFonts w:ascii="Times New Roman" w:cs="Times New Roman" w:eastAsia="Times New Roman" w:hAnsi="Times New Roman"/>
          <w:b w:val="false"/>
          <w:bCs w:val="false"/>
          <w:i w:val="false"/>
          <w:iCs w:val="false"/>
          <w:sz w:val="24"/>
          <w:szCs w:val="24"/>
        </w:rPr>
        <w:t xml:space="preserve">., Schnabl, P., &amp; Vickery, J. (2019). The role of technology in mortgage lending. </w:t>
      </w:r>
      <w:r>
        <w:rPr>
          <w:rFonts w:ascii="Times New Roman" w:cs="Times New Roman" w:eastAsia="Times New Roman" w:hAnsi="Times New Roman"/>
          <w:b w:val="false"/>
          <w:bCs w:val="false"/>
          <w:i/>
          <w:iCs/>
          <w:sz w:val="24"/>
          <w:szCs w:val="24"/>
        </w:rPr>
        <w:t xml:space="preserve">The Review of Financial Studies, 32</w:t>
      </w:r>
      <w:r>
        <w:rPr>
          <w:rFonts w:ascii="Times New Roman" w:cs="Times New Roman" w:eastAsia="Times New Roman" w:hAnsi="Times New Roman"/>
          <w:b w:val="false"/>
          <w:bCs w:val="false"/>
          <w:i w:val="false"/>
          <w:iCs w:val="false"/>
          <w:sz w:val="24"/>
          <w:szCs w:val="24"/>
        </w:rPr>
        <w:t xml:space="preserve">(5), 1854-1899. https://doi.org/10.1093/rfs/hhz018</w:t>
      </w:r>
    </w:p>
    <w:p>
      <w:pPr>
        <w:pStyle w:val="Heading1"/>
        <w:spacing w:before="240" w:after="120"/>
        <w:jc w:val="center"/>
      </w:pPr>
      <w:r>
        <w:t xml:space="preserve">Introduction/Background</w:t>
      </w:r>
      <w:r>
        <w:rPr>
          <w:rFonts w:ascii="Times New Roman" w:cs="Times New Roman" w:eastAsia="Times New Roman" w:hAnsi="Times New Roman"/>
          <w:b/>
          <w:bCs/>
          <w:sz w:val="24"/>
          <w:szCs w:val="24"/>
        </w:rPr>
        <w:t xml:space="preserve">Introduction/Background</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The mortgage lending industry has undergone substantial transformation over the past decade, driven by the emergence of technology-enabled financial service providers commonly referred to as "fintech" lenders. These non-bank entities entered the mortgage market following the 2008 financial crisis, claiming to offer faster processing times and improved customer experiences through digital platforms and automated underwriting systems. However, the rapid growth of fintech mortgage lending raised critical questions about whether technological innovation created genuine efficiency improvements or simply represented regulatory arbitrage that might compromise credit quality and financial stability.</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Fuster et al. (2019) addressed this important research gap by conducting the first comprehensive empirical analysis of how technology affects mortgage lending performance. Prior research had documented the growth of shadow banking and non-bank mortgage origination following the financial crisis, but scholars lacked rigorous evidence about the operational and credit performance differences between technology-based lenders and traditional financial institutions. The authors identified three key concepts requiring investigation: processing speed (operational efficiency), default risk (credit quality), and supply elasticity (responsiveness to market conditions). Understanding these dimensions proved essential for policymakers evaluating regulatory frameworks for fintech companies and for traditional lenders considering technology investments.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The significance of this research extends beyond academic interest. The mortgage market represents one of the largest and most economically important financial sectors, with total outstanding mortgage debt exceeding $10 trillion in the United States. Technology-driven disruption of mortgage lending carries implications for household access to credit, financial system stability, and the competitive dynamics of the banking industry. The authors' investigation provided empirical evidence to inform debates about whether fintech lending constituted a beneficial innovation worthy of regulatory support or a potentially risky development requiring enhanced oversight. Their research occurred at a critical juncture when fintech mortgage lenders had grown from near-zero market share in 2010 to approximately 8% of total originations by 2016, making empirical assessment both timely and policy-relevant.</w:t>
      </w:r>
    </w:p>
    <w:p>
      <w:pPr>
        <w:pStyle w:val="Heading1"/>
        <w:spacing w:before="240" w:after="120"/>
        <w:jc w:val="center"/>
      </w:pPr>
      <w:r>
        <w:t xml:space="preserve">Methodology</w:t>
      </w:r>
      <w:r>
        <w:rPr>
          <w:rFonts w:ascii="Times New Roman" w:cs="Times New Roman" w:eastAsia="Times New Roman" w:hAnsi="Times New Roman"/>
          <w:b/>
          <w:bCs/>
          <w:sz w:val="24"/>
          <w:szCs w:val="24"/>
        </w:rPr>
        <w:t xml:space="preserve">Methodology</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Fuster et al. (2019) designed their study to answer three primary research questions: (1) Do fintech lenders process mortgage applications more quickly than traditional lenders? (2) Do faster processing times come at the cost of higher default rates? (3) How do fintech lenders respond to changes in mortgage demand compared to traditional lenders? These questions translated into testable hypotheses predicting that technology-based lenders would demonstrate superior processing speed, comparable or better credit quality, and greater supply elasticity than conventional mortgage originators.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The researchers employed an observational study design using comprehensive administrative data on mortgage applications and originations. Their primary data source was the McDash Analytics database maintained by Black Knight Financial Services, which contains loan-level information on mortgages serviced by entities representing approximately two-thirds of the U.S. mortgage market. The authors supplemented this core dataset with information from the Home Mortgage Disclosure Act (HMDA) database, public records on property transactions, and lender characteristic data. The final analytical sample included millions of mortgage applications submitted between 2010 and 2016, providing statistical power to detect meaningful differences between lender types.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The study measured several key variables across these mortgage records. The dependent variables of primary interest included processing time (measured as days from application to closing), default indicators (90-day delinquency within 24 months of origination), and loan volume responsiveness to interest rate changes. Independent variables captured lender characteristics, with the critical classification distinguishing fintech lenders (defined as non-bank lenders with significant technology investments) from traditional banks and non-fintech non-banks. Control variables included borrower characteristics (credit score, income, debt-to-income ratio), loan attributes (amount, loan-to-value ratio, loan type), and geographic factors (county, property type).</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The statistical analysis employed multiple sophisticated econometric techniques to address potential confounding factors and establish causal relationships. The authors' primary analytical approach utilized ordinary least squares (OLS) regression models with extensive fixed effects to control for unobserved heterogeneity across geographic markets and time periods. These models regressed processing time and default outcomes on lender type indicators while controlling for loan, borrower, and market characteristics. To address concerns about endogenous lender selection—whereby fintech lenders might choose to serve less risky borrowers or simpler loans—the researchers implemented propensity score matching to create comparable treatment and control groups based on observable characteristics.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For analyzing supply elasticity, Fuster et al. (2019) employed difference-in-differences (DiD) estimation strategies that exploited variation in refinancing incentives created by interest rate changes. This quasi-experimental design compared how fintech and traditional lenders responded to periods when refinancing became more economically attractive for borrowers. The authors further addressed potential endogeneity concerns through instrumental variables (IV) estimation, using lender market share in geographic areas as an instrument for fintech presence. Robustness checks included survival analysis for examining default rates over extended time horizons, alternative specifications of the processing time measure, and subgroup analyses across different market segments.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The researchers conducted all statistical analyses using standard econometric software, implementing cluster-robust standard errors to account for potential correlation in outcomes within geographic markets and time periods. Sample sizes varied across specifications but typically included hundreds of thousands to millions of observations, providing substantial statistical power to detect economically meaningful effects. The authors acknowledged several methodological limitations, including the observational nature of the data (precluding random assignment), the focus primarily on refinancing rather than purchase mortgages, the relatively short post-origination period for observing defaults, and potential measurement error in classifying lenders as fintech versus traditional based on available characteristics.</w:t>
      </w:r>
    </w:p>
    <w:p>
      <w:pPr>
        <w:pStyle w:val="Heading1"/>
        <w:spacing w:before="240" w:after="120"/>
        <w:jc w:val="center"/>
      </w:pPr>
      <w:r>
        <w:t xml:space="preserve">Study Findings and Results</w:t>
      </w:r>
      <w:r>
        <w:rPr>
          <w:rFonts w:ascii="Times New Roman" w:cs="Times New Roman" w:eastAsia="Times New Roman" w:hAnsi="Times New Roman"/>
          <w:b/>
          <w:bCs/>
          <w:sz w:val="24"/>
          <w:szCs w:val="24"/>
        </w:rPr>
        <w:t xml:space="preserve">Study Findings and Results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The empirical analysis produced several striking findings about fintech lending performance. The study's most prominent result demonstrated that fintech lenders processed mortgage applications substantially faster than traditional lenders. Specifically, the regression analysis revealed that fintech lenders completed mortgages approximately 20% more quickly than traditional banks, processing applications in roughly 43 days compared to 53 days for traditional lenders, holding all other factors constant. This processing speed advantage proved highly statistically significant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&lt; 0.001) and robust across multiple model specifications and subsamples. The effect size translated to approximately 10 days of reduced processing time, representing a meaningful improvement from the borrower's perspective.</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Contrary to concerns that faster processing might compromise credit quality, the researchers found no evidence that fintech lending resulted in higher default rates. The study reported that 90-day delinquency rates within 24 months of origination were statistically indistinguishable between fintech and traditional lenders after controlling for loan and borrower characteristics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&gt; 0.10). The point estimates actually suggested slightly lower default probabilities for fintech loans, though these differences did not reach conventional significance thresholds. Survival analysis examining default patterns over extended periods similarly found no significant differences in credit performance, with hazard ratios close to unity. These findings held even when examining subprime segments and high loan-to-value ratios where credit risk concerns might be most acute.</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The analysis of supply elasticity revealed that fintech lenders demonstrated significantly greater responsiveness to changes in mortgage demand. The difference-in-differences estimates indicated that when refinancing incentives increased due to declining interest rates, fintech lenders expanded their origination volumes substantially more than traditional banks did. The regression coefficients measuring this differential response showed that fintech market share increased by approximately 30% more in high-incentive periods compared to low-incentive periods (</w:t>
      </w:r>
      <w:r>
        <w:rPr>
          <w:rFonts w:ascii="Times New Roman" w:cs="Times New Roman" w:eastAsia="Times New Roman" w:hAnsi="Times New Roman"/>
          <w:b w:val="false"/>
          <w:bCs w:val="false"/>
          <w:i/>
          <w:iCs/>
          <w:sz w:val="24"/>
          <w:szCs w:val="24"/>
        </w:rPr>
        <w:t xml:space="preserve">β</w:t>
      </w:r>
      <w:r>
        <w:rPr>
          <w:rFonts w:ascii="Times New Roman" w:cs="Times New Roman" w:eastAsia="Times New Roman" w:hAnsi="Times New Roman"/>
          <w:b w:val="false"/>
          <w:bCs w:val="false"/>
          <w:i w:val="false"/>
          <w:iCs w:val="false"/>
          <w:sz w:val="24"/>
          <w:szCs w:val="24"/>
        </w:rPr>
        <w:t xml:space="preserve"> = 0.30,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4.2,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&lt; 0.001). This heightened supply elasticity persisted after controlling for lender capital constraints, geographic market conditions, and seasonal factors. The authors interpreted this finding as evidence that technology-enabled business models created greater operational flexibility and scalability than traditional branch-based lending.</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Additional analyses explored mechanisms underlying the processing speed advantage. The researchers found that fintech lenders achieved faster processing primarily through reduced time for document collection and initial underwriting review rather than through faster final approval from secondary market purchasers. This suggested that automation of document verification and initial screening—rather than different underwriting standards—explained the efficiency gains. The study also documented that fintech processing advantages were larger for refinancing than for purchase mortgages, consistent with refinancing representing a less complex transaction more amenable to automation.</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The authors acknowledged several important limitations affecting interpretation of their results. First, the study period (2010-2016) represented relatively benign economic conditions characterized by low default rates across all lender types, potentially limiting the ability to detect differences in credit quality that might emerge during economic downturns. Second, the classification of lenders as fintech versus traditional relied on imperfect measures of technology adoption, possibly including some technology-intensive traditional banks in the control group and thereby underestimating true fintech effects. Third, the analysis focused primarily on conforming mortgages eligible for purchase by government-sponsored enterprises, with less coverage of jumbo and government-insured loans. Fourth, the data provided limited information about borrower satisfaction and other aspects of customer experience beyond processing speed. Finally, the researchers noted that long-term outcomes—including borrower repayment performance during economic stress and lender sustainability through full business cycles—remained uncertain given the relatively recent emergence of fintech mortgage lending.</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Despite these limitations, the study's findings provided robust evidence that technology-enabled mortgage lending delivered genuine operational improvements without observable increases in credit risk during the study period. The consistency of results across multiple analytical approaches, the statistical significance of key findings, and the economically meaningful effect sizes collectively supported the conclusion that fintech innovation represented a substantive advance in mortgage market efficiency rather than simply regulatory arbitrage or illusory performance gains.</w:t>
      </w:r>
    </w:p>
    <w:p>
      <w:pPr>
        <w:pStyle w:val="Heading1"/>
        <w:spacing w:before="240" w:after="120"/>
        <w:jc w:val="center"/>
      </w:pPr>
      <w:r>
        <w:t xml:space="preserve">Conclusions</w:t>
      </w:r>
      <w:r>
        <w:rPr>
          <w:rFonts w:ascii="Times New Roman" w:cs="Times New Roman" w:eastAsia="Times New Roman" w:hAnsi="Times New Roman"/>
          <w:b/>
          <w:bCs/>
          <w:sz w:val="24"/>
          <w:szCs w:val="24"/>
        </w:rPr>
        <w:t xml:space="preserve">Conclusions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The significance of Fuster et al. (2019) to the field of financial services research and practice cannot be overstated. This study provided the first rigorous, large-scale empirical evidence that financial technology applications can deliver substantial operational improvements—specifically, 20% faster mortgage processing—without compromising credit quality or increasing default risk. These findings have important implications for both academic understanding of technology's role in finance and practical decisions by financial institutions, policymakers, and consumers. For traditional lenders, the results suggest that technology investments may offer competitive advantages worth pursuing despite implementation costs and organizational challenges. For regulators, the evidence indicates that fintech lending models merit supportive regulatory frameworks rather than restrictions based on unfounded credit quality concerns. For borrowers, the findings validate that technology-enabled lenders can provide meaningfully faster service during the stressful and time-sensitive home buying or refinancing process.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The research methods employed in this study demonstrated considerable strengths that enhance confidence in the findings. The use of comprehensive administrative data covering millions of mortgage transactions provided statistical power far exceeding typical academic studies. The authors' deployment of multiple econometric techniques—including propensity score matching to address selection bias, difference-in-differences to estimate causal effects, and instrumental variables to handle endogeneity—reflected sophisticated analytical approaches appropriate for observational data. The extensive set of control variables and fixed effects helped isolate the specific impact of technology adoption from confounding factors like geographic market conditions, borrower characteristics, and temporal trends. The robustness checks across different specifications and subsamples strengthened the credibility of the core findings.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However, several aspects of the methodology warrant consideration of alternative approaches. The observational study design, while appropriate given data availability, could not definitively establish causality in the same manner as a randomized controlled trial. An experimental design—perhaps involving random assignment of mortgage applications to fintech versus traditional processing—would provide even stronger causal inference, though practical and ethical constraints make such experiments difficult in real mortgage markets. The study's focus on 2010-2016 data means the findings may not generalize to more recent periods when fintech lending has matured further or to future economic downturns that might reveal latent credit quality differences. Extending the analysis to more recent years and examining performance during the COVID-19 pandemic would provide valuable insights into whether the efficiency advantages persist and whether credit quality differences emerge under economic stress.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The statistical analysis employed in the study was generally appropriate and rigorous, with regression models properly specified to address the research questions. The use of cluster-robust standard errors appropriately accounted for potential correlation in outcomes within markets, and the sample sizes provided adequate power to detect meaningful effects. The authors transparently reported both statistically significant and non-significant findings, avoiding the selective reporting that can undermine research credibility. However, the study could have benefited from more extensive reporting of effect sizes and practical significance beyond statistical significance. For instance, while the 20% processing time reduction was statistically significant, additional analysis of how this translates to borrower satisfaction, conversion rates, or price competition would illuminate whether the effect is economically consequential. The study also might have employed machine learning techniques to identify heterogeneous treatment effects across different borrower or market segments, potentially revealing that fintech advantages are concentrated in particular niches.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In terms of readability and presentation, the article reflected the high standards of a top-tier academic journal. The writing was clear and well-organized, progressing logically from motivation to methodology to results to interpretation. The extensive tables and figures effectively presented regression results, summary statistics, and robustness checks, though the sheer volume of information might challenge readers less familiar with econometric notation. A practitioner in the mortgage industry would likely need some statistical background to fully appreciate the nuances of the instrumental variables and difference-in-differences specifications, but the main findings were accessible even to non-specialists. The authors' discussion section helpfully connected their empirical findings to broader policy implications and practical considerations.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The study clearly identifies avenues for future research that could build upon these foundations. First, as fintech lending has continued to evolve since 2016, research examining more recent data and newer technologies—particularly artificial intelligence and machine learning applications in underwriting—would update understanding of technology's role in mortgage markets. Second, expanding the analysis to purchase mortgages, non-conforming loans, and other mortgage products would reveal whether fintech advantages extend beyond the refinancing segment emphasized in this study. Third, investigating long-term outcomes including borrower satisfaction, repeat business, and lender profitability would illuminate whether operational efficiency translates to sustainable competitive advantages. Fourth, examining how traditional lenders respond to fintech competition—through their own technology investments or other strategic adjustments—would contribute to understanding market equilibrium in technology-driven financial services. Fifth, cross-country comparisons could reveal whether fintech mortgage lending advantages are specific to U.S. institutional and regulatory contexts or represent more universal phenomena.</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The overall evaluation of this article recognizes substantial strengths that outweigh its limitations. The study's primary strengths include the use of comprehensive administrative data providing unprecedented scale and coverage, the sophisticated econometric methods addressing potential confounds and selection biases, the focus on an economically important and policy-relevant question, the consistent findings across multiple robustness checks, and the transparency in reporting both positive and null results. The main weaknesses involve the observational nature of the data limiting causal inference, the restriction to a specific time period and mortgage segment potentially limiting generalizability, the imperfect classification of lenders as fintech versus traditional, and the limited ability to observe some outcomes of interest like long-term performance during economic stress.</w:t>
      </w:r>
    </w:p>
    <w:p>
      <w:pPr>
        <w:spacing w:after="0" w:before="0" w:line="480"/>
        <w:ind w:firstLine="720"/>
      </w:pPr>
      <w:r>
        <w:rPr>
          <w:rFonts w:ascii="Times New Roman" w:cs="Times New Roman" w:eastAsia="Times New Roman" w:hAnsi="Times New Roman"/>
          <w:b w:val="false"/>
          <w:bCs w:val="false"/>
          <w:i w:val="false"/>
          <w:iCs w:val="false"/>
          <w:sz w:val="24"/>
          <w:szCs w:val="24"/>
        </w:rPr>
        <w:t xml:space="preserve">This article would be strongly recommended to anyone interested in financial technology, mortgage markets, or the broader question of how digital innovation affects financial services. For traditional financial institutions considering technology investments, the study provides evidence-based justification for modernization efforts. For policymakers evaluating regulations for fintech companies, the findings suggest that technology-enabled lending can improve market efficiency without increasing systemic risks, at least under favorable economic conditions. For researchers studying financial innovation, the article exemplifies how to rigorously evaluate new business models using administrative data and econometric methods. For students learning statistical analysis in applied contexts, the study demonstrates how multiple analytical techniques can be combined to build a comprehensive and credible empirical investigation of complex real-world phenomena.</w:t>
      </w:r>
    </w:p>
    <w:p>
      <w:pPr>
        <w:pStyle w:val="Heading1"/>
        <w:spacing w:before="240" w:after="120"/>
        <w:jc w:val="center"/>
      </w:pPr>
      <w:r>
        <w:t xml:space="preserve">References</w:t>
      </w: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Fuster, A., Plosser, </w:t>
      </w:r>
      <w:r>
        <w:rPr>
          <w:rFonts w:ascii="Times New Roman" w:cs="Times New Roman" w:eastAsia="Times New Roman" w:hAnsi="Times New Roman"/>
          <w:b w:val="false"/>
          <w:bCs w:val="false"/>
          <w:i/>
          <w:iCs/>
          <w:sz w:val="24"/>
          <w:szCs w:val="24"/>
        </w:rPr>
        <w:t xml:space="preserve">M</w:t>
      </w:r>
      <w:r>
        <w:rPr>
          <w:rFonts w:ascii="Times New Roman" w:cs="Times New Roman" w:eastAsia="Times New Roman" w:hAnsi="Times New Roman"/>
          <w:b w:val="false"/>
          <w:bCs w:val="false"/>
          <w:i w:val="false"/>
          <w:iCs w:val="false"/>
          <w:sz w:val="24"/>
          <w:szCs w:val="24"/>
        </w:rPr>
        <w:t xml:space="preserve">., Schnabl, P., &amp; Vickery, J. (2019). The role of technology in mortgage lending. </w:t>
      </w:r>
      <w:r>
        <w:rPr>
          <w:rFonts w:ascii="Times New Roman" w:cs="Times New Roman" w:eastAsia="Times New Roman" w:hAnsi="Times New Roman"/>
          <w:b w:val="false"/>
          <w:bCs w:val="false"/>
          <w:i/>
          <w:iCs/>
          <w:sz w:val="24"/>
          <w:szCs w:val="24"/>
        </w:rPr>
        <w:t xml:space="preserve">The Review of Financial Studies, 32</w:t>
      </w:r>
      <w:r>
        <w:rPr>
          <w:rFonts w:ascii="Times New Roman" w:cs="Times New Roman" w:eastAsia="Times New Roman" w:hAnsi="Times New Roman"/>
          <w:b w:val="false"/>
          <w:bCs w:val="false"/>
          <w:i w:val="false"/>
          <w:iCs w:val="false"/>
          <w:sz w:val="24"/>
          <w:szCs w:val="24"/>
        </w:rPr>
        <w:t xml:space="preserve">(5), 1854-1899. https://doi.org/10.1093/rfs/hhz018</w:t>
      </w:r>
    </w:p>
    <w:sectPr>
      <w:headerReference w:type="default" r:id="rId6"/>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2025-11-11T00:18:55.316Z</dcterms:created>
  <dcterms:modified xsi:type="dcterms:W3CDTF">2025-11-11T00:18:55.316Z</dcterms:modified>
</cp:coreProperties>
</file>

<file path=docProps/custom.xml><?xml version="1.0" encoding="utf-8"?>
<Properties xmlns="http://schemas.openxmlformats.org/officeDocument/2006/custom-properties" xmlns:vt="http://schemas.openxmlformats.org/officeDocument/2006/docPropsVTypes"/>
</file>