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AI System Description</w:t>
      </w:r>
    </w:p>
    <w:p>
      <w:pPr>
        <w:spacing w:after="120"/>
        <w:jc w:val="center"/>
      </w:pPr>
      <w:r>
        <w:rPr>
          <w:b/>
          <w:bCs/>
          <w:sz w:val="28"/>
          <w:szCs w:val="28"/>
        </w:rPr>
        <w:t xml:space="preserve">AI-Powered Mortgage Loan Approval System</w:t>
      </w:r>
    </w:p>
    <w:p>
      <w:pPr>
        <w:spacing w:after="480"/>
        <w:jc w:val="center"/>
      </w:pPr>
      <w:r>
        <w:rPr>
          <w:sz w:val="24"/>
          <w:szCs w:val="24"/>
        </w:rPr>
        <w:t xml:space="preserve">AI Risk Management Exercise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E8E8" w:val="clear"/>
          </w:tcPr>
          <w:p>
            <w:r>
              <w:rPr>
                <w:b/>
                <w:bCs/>
              </w:rPr>
              <w:t xml:space="preserve">Organization:</w:t>
            </w:r>
          </w:p>
        </w:tc>
        <w:tc>
          <w:tcPr>
            <w:tcW w:type="dxa" w:w="6360"/>
            <w:tcBorders>
              <w:top w:val="single" w:color="CCCCCC" w:sz="1"/>
              <w:left w:val="single" w:color="CCCCCC" w:sz="1"/>
              <w:bottom w:val="single" w:color="CCCCCC" w:sz="1"/>
              <w:right w:val="single" w:color="CCCCCC" w:sz="1"/>
            </w:tcBorders>
          </w:tcPr>
          <w:p>
            <w:r>
              <w:t xml:space="preserve">Lakeview Loan Servicing</w:t>
            </w:r>
          </w:p>
        </w:tc>
      </w:tr>
      <w:tr>
        <w:tc>
          <w:tcPr>
            <w:tcW w:type="dxa" w:w="3000"/>
            <w:tcBorders>
              <w:top w:val="single" w:color="CCCCCC" w:sz="1"/>
              <w:left w:val="single" w:color="CCCCCC" w:sz="1"/>
              <w:bottom w:val="single" w:color="CCCCCC" w:sz="1"/>
              <w:right w:val="single" w:color="CCCCCC" w:sz="1"/>
            </w:tcBorders>
            <w:shd w:fill="E8E8E8" w:val="clear"/>
          </w:tcPr>
          <w:p>
            <w:r>
              <w:rPr>
                <w:b/>
                <w:bCs/>
              </w:rPr>
              <w:t xml:space="preserve">System Classification:</w:t>
            </w:r>
          </w:p>
        </w:tc>
        <w:tc>
          <w:tcPr>
            <w:tcW w:type="dxa" w:w="6360"/>
            <w:tcBorders>
              <w:top w:val="single" w:color="CCCCCC" w:sz="1"/>
              <w:left w:val="single" w:color="CCCCCC" w:sz="1"/>
              <w:bottom w:val="single" w:color="CCCCCC" w:sz="1"/>
              <w:right w:val="single" w:color="CCCCCC" w:sz="1"/>
            </w:tcBorders>
          </w:tcPr>
          <w:p>
            <w:r>
              <w:t xml:space="preserve">Moderately to Highly Critical</w:t>
            </w:r>
          </w:p>
        </w:tc>
      </w:tr>
      <w:tr>
        <w:tc>
          <w:tcPr>
            <w:tcW w:type="dxa" w:w="3000"/>
            <w:tcBorders>
              <w:top w:val="single" w:color="CCCCCC" w:sz="1"/>
              <w:left w:val="single" w:color="CCCCCC" w:sz="1"/>
              <w:bottom w:val="single" w:color="CCCCCC" w:sz="1"/>
              <w:right w:val="single" w:color="CCCCCC" w:sz="1"/>
            </w:tcBorders>
            <w:shd w:fill="E8E8E8" w:val="clear"/>
          </w:tcPr>
          <w:p>
            <w:r>
              <w:rPr>
                <w:b/>
                <w:bCs/>
              </w:rPr>
              <w:t xml:space="preserve">Deployment Status:</w:t>
            </w:r>
          </w:p>
        </w:tc>
        <w:tc>
          <w:tcPr>
            <w:tcW w:type="dxa" w:w="6360"/>
            <w:tcBorders>
              <w:top w:val="single" w:color="CCCCCC" w:sz="1"/>
              <w:left w:val="single" w:color="CCCCCC" w:sz="1"/>
              <w:bottom w:val="single" w:color="CCCCCC" w:sz="1"/>
              <w:right w:val="single" w:color="CCCCCC" w:sz="1"/>
            </w:tcBorders>
          </w:tcPr>
          <w:p>
            <w:r>
              <w:t xml:space="preserve">Production (Operational)</w:t>
            </w:r>
          </w:p>
        </w:tc>
      </w:tr>
      <w:tr>
        <w:tc>
          <w:tcPr>
            <w:tcW w:type="dxa" w:w="3000"/>
            <w:tcBorders>
              <w:top w:val="single" w:color="CCCCCC" w:sz="1"/>
              <w:left w:val="single" w:color="CCCCCC" w:sz="1"/>
              <w:bottom w:val="single" w:color="CCCCCC" w:sz="1"/>
              <w:right w:val="single" w:color="CCCCCC" w:sz="1"/>
            </w:tcBorders>
            <w:shd w:fill="E8E8E8" w:val="clear"/>
          </w:tcPr>
          <w:p>
            <w:r>
              <w:rPr>
                <w:b/>
                <w:bCs/>
              </w:rPr>
              <w:t xml:space="preserve">Student:</w:t>
            </w:r>
          </w:p>
        </w:tc>
        <w:tc>
          <w:tcPr>
            <w:tcW w:type="dxa" w:w="6360"/>
            <w:tcBorders>
              <w:top w:val="single" w:color="CCCCCC" w:sz="1"/>
              <w:left w:val="single" w:color="CCCCCC" w:sz="1"/>
              <w:bottom w:val="single" w:color="CCCCCC" w:sz="1"/>
              <w:right w:val="single" w:color="CCCCCC" w:sz="1"/>
            </w:tcBorders>
          </w:tcPr>
          <w:p>
            <w:r>
              <w:t xml:space="preserve">Srinath Jagarlamudi</w:t>
            </w:r>
          </w:p>
        </w:tc>
      </w:tr>
      <w:tr>
        <w:tc>
          <w:tcPr>
            <w:tcW w:type="dxa" w:w="3000"/>
            <w:tcBorders>
              <w:top w:val="single" w:color="CCCCCC" w:sz="1"/>
              <w:left w:val="single" w:color="CCCCCC" w:sz="1"/>
              <w:bottom w:val="single" w:color="CCCCCC" w:sz="1"/>
              <w:right w:val="single" w:color="CCCCCC" w:sz="1"/>
            </w:tcBorders>
            <w:shd w:fill="E8E8E8" w:val="clear"/>
          </w:tcPr>
          <w:p>
            <w:r>
              <w:rPr>
                <w:b/>
                <w:bCs/>
              </w:rPr>
              <w:t xml:space="preserve">Course:</w:t>
            </w:r>
          </w:p>
        </w:tc>
        <w:tc>
          <w:tcPr>
            <w:tcW w:type="dxa" w:w="6360"/>
            <w:tcBorders>
              <w:top w:val="single" w:color="CCCCCC" w:sz="1"/>
              <w:left w:val="single" w:color="CCCCCC" w:sz="1"/>
              <w:bottom w:val="single" w:color="CCCCCC" w:sz="1"/>
              <w:right w:val="single" w:color="CCCCCC" w:sz="1"/>
            </w:tcBorders>
          </w:tcPr>
          <w:p>
            <w:r>
              <w:t xml:space="preserve">ITS-831: InfoTech Import in Strat Plan</w:t>
            </w:r>
          </w:p>
        </w:tc>
      </w:tr>
      <w:tr>
        <w:tc>
          <w:tcPr>
            <w:tcW w:type="dxa" w:w="3000"/>
            <w:tcBorders>
              <w:top w:val="single" w:color="CCCCCC" w:sz="1"/>
              <w:left w:val="single" w:color="CCCCCC" w:sz="1"/>
              <w:bottom w:val="single" w:color="CCCCCC" w:sz="1"/>
              <w:right w:val="single" w:color="CCCCCC" w:sz="1"/>
            </w:tcBorders>
            <w:shd w:fill="E8E8E8" w:val="clear"/>
          </w:tcPr>
          <w:p>
            <w:r>
              <w:rPr>
                <w:b/>
                <w:bCs/>
              </w:rPr>
              <w:t xml:space="preserve">Submission:</w:t>
            </w:r>
          </w:p>
        </w:tc>
        <w:tc>
          <w:tcPr>
            <w:tcW w:type="dxa" w:w="6360"/>
            <w:tcBorders>
              <w:top w:val="single" w:color="CCCCCC" w:sz="1"/>
              <w:left w:val="single" w:color="CCCCCC" w:sz="1"/>
              <w:bottom w:val="single" w:color="CCCCCC" w:sz="1"/>
              <w:right w:val="single" w:color="CCCCCC" w:sz="1"/>
            </w:tcBorders>
          </w:tcPr>
          <w:p>
            <w:r>
              <w:t xml:space="preserve">Resubmission - November 2025</w:t>
            </w:r>
          </w:p>
        </w:tc>
      </w:tr>
    </w:tbl>
    <w:p>
      <w:pPr>
        <w:pStyle w:val="Heading1"/>
      </w:pPr>
      <w:r>
        <w:t xml:space="preserve">1. System Purpose</w:t>
      </w:r>
    </w:p>
    <w:p>
      <w:pPr>
        <w:spacing w:after="200" w:line="360"/>
      </w:pPr>
      <w:r>
        <w:t xml:space="preserve">The AI-Powered Mortgage Loan Approval System is designed to transform Lakeview Loan Servicing's mortgage underwriting process by automating credit assessments, predicting loan default risks, and accelerating approval decisions. The system supports the organization's strategic goals across multiple dimensions:</w:t>
      </w:r>
    </w:p>
    <w:p>
      <w:pPr>
        <w:pStyle w:val="ListParagraph"/>
        <w:numPr>
          <w:ilvl w:val="0"/>
          <w:numId w:val="2"/>
        </w:numPr>
      </w:pPr>
      <w:r>
        <w:rPr>
          <w:b/>
          <w:bCs/>
        </w:rPr>
        <w:t xml:space="preserve">Operational Efficiency: </w:t>
      </w:r>
      <w:r>
        <w:t xml:space="preserve">Reducing manual underwriting time from 5-7 days to 24-48 hours for standard applications</w:t>
      </w:r>
    </w:p>
    <w:p>
      <w:pPr>
        <w:pStyle w:val="ListParagraph"/>
        <w:numPr>
          <w:ilvl w:val="0"/>
          <w:numId w:val="2"/>
        </w:numPr>
      </w:pPr>
      <w:r>
        <w:rPr>
          <w:b/>
          <w:bCs/>
        </w:rPr>
        <w:t xml:space="preserve">Risk Management: </w:t>
      </w:r>
      <w:r>
        <w:t xml:space="preserve">Improving portfolio quality through data-driven default prediction with 90%+ accuracy</w:t>
      </w:r>
    </w:p>
    <w:p>
      <w:pPr>
        <w:pStyle w:val="ListParagraph"/>
        <w:numPr>
          <w:ilvl w:val="0"/>
          <w:numId w:val="2"/>
        </w:numPr>
      </w:pPr>
      <w:r>
        <w:rPr>
          <w:b/>
          <w:bCs/>
        </w:rPr>
        <w:t xml:space="preserve">Competitive Advantage: </w:t>
      </w:r>
      <w:r>
        <w:t xml:space="preserve">Enhancing customer experience through faster loan decisions and transparent communication</w:t>
      </w:r>
    </w:p>
    <w:p>
      <w:pPr>
        <w:pStyle w:val="ListParagraph"/>
        <w:numPr>
          <w:ilvl w:val="0"/>
          <w:numId w:val="2"/>
        </w:numPr>
      </w:pPr>
      <w:r>
        <w:rPr>
          <w:b/>
          <w:bCs/>
        </w:rPr>
        <w:t xml:space="preserve">Regulatory Compliance: </w:t>
      </w:r>
      <w:r>
        <w:t xml:space="preserve">Ensuring fair lending practices and maintaining compliance with ECOA, FHA, and CFPB guidelines</w:t>
      </w:r>
    </w:p>
    <w:p>
      <w:pPr>
        <w:pStyle w:val="ListParagraph"/>
        <w:numPr>
          <w:ilvl w:val="0"/>
          <w:numId w:val="2"/>
        </w:numPr>
        <w:spacing w:after="200"/>
      </w:pPr>
      <w:r>
        <w:rPr>
          <w:b/>
          <w:bCs/>
        </w:rPr>
        <w:t xml:space="preserve">Business Growth: </w:t>
      </w:r>
      <w:r>
        <w:t xml:space="preserve">Scaling loan processing capacity to support capital marketing initiatives and loan offer generation programs</w:t>
      </w:r>
    </w:p>
    <w:p>
      <w:pPr>
        <w:spacing w:after="200" w:line="360"/>
      </w:pPr>
      <w:r>
        <w:t xml:space="preserve">This system directly supports Lakeview's capital markets operations and loan offer generation strategies by enabling rapid, consistent, and data-driven lending decisions across thousands of mortgage applications monthly.</w:t>
      </w:r>
    </w:p>
    <w:p>
      <w:pPr>
        <w:pStyle w:val="Heading1"/>
      </w:pPr>
      <w:r>
        <w:t xml:space="preserve">2. System Functionality</w:t>
      </w:r>
    </w:p>
    <w:p>
      <w:pPr>
        <w:pStyle w:val="Heading2"/>
      </w:pPr>
      <w:r>
        <w:t xml:space="preserve">2.1 Core Capabilities</w:t>
      </w:r>
    </w:p>
    <w:p>
      <w:pPr>
        <w:spacing w:after="200" w:line="360"/>
      </w:pPr>
      <w:r>
        <w:t xml:space="preserve">The AI system analyzes comprehensive applicant data to generate risk-based loan recommendations using supervised machine learning algorithms (gradient boosting and neural networks).</w:t>
      </w:r>
    </w:p>
    <w:p>
      <w:pPr>
        <w:pStyle w:val="Heading3"/>
      </w:pPr>
      <w:r>
        <w:t xml:space="preserve">Input Data Sources</w:t>
      </w:r>
    </w:p>
    <w:p>
      <w:pPr>
        <w:pStyle w:val="ListParagraph"/>
        <w:numPr>
          <w:ilvl w:val="0"/>
          <w:numId w:val="2"/>
        </w:numPr>
      </w:pPr>
      <w:r>
        <w:rPr>
          <w:b/>
          <w:bCs/>
        </w:rPr>
        <w:t xml:space="preserve">Credit Bureau Data: </w:t>
      </w:r>
      <w:r>
        <w:t xml:space="preserve">Credit scores (FICO), payment history, credit utilization, inquiries, derogatory marks</w:t>
      </w:r>
    </w:p>
    <w:p>
      <w:pPr>
        <w:pStyle w:val="ListParagraph"/>
        <w:numPr>
          <w:ilvl w:val="0"/>
          <w:numId w:val="2"/>
        </w:numPr>
      </w:pPr>
      <w:r>
        <w:rPr>
          <w:b/>
          <w:bCs/>
        </w:rPr>
        <w:t xml:space="preserve">Income Verification: </w:t>
      </w:r>
      <w:r>
        <w:t xml:space="preserve">W-2s, tax returns, pay stubs, employment history, debt-to-income (DTI) ratios</w:t>
      </w:r>
    </w:p>
    <w:p>
      <w:pPr>
        <w:pStyle w:val="ListParagraph"/>
        <w:numPr>
          <w:ilvl w:val="0"/>
          <w:numId w:val="2"/>
        </w:numPr>
      </w:pPr>
      <w:r>
        <w:rPr>
          <w:b/>
          <w:bCs/>
        </w:rPr>
        <w:t xml:space="preserve">Asset Documentation: </w:t>
      </w:r>
      <w:r>
        <w:t xml:space="preserve">Bank statements, investment accounts, down payment sources</w:t>
      </w:r>
    </w:p>
    <w:p>
      <w:pPr>
        <w:pStyle w:val="ListParagraph"/>
        <w:numPr>
          <w:ilvl w:val="0"/>
          <w:numId w:val="2"/>
        </w:numPr>
      </w:pPr>
      <w:r>
        <w:rPr>
          <w:b/>
          <w:bCs/>
        </w:rPr>
        <w:t xml:space="preserve">Property Information: </w:t>
      </w:r>
      <w:r>
        <w:t xml:space="preserve">Appraisals, loan-to-value (LTV) ratios, property type and location</w:t>
      </w:r>
    </w:p>
    <w:p>
      <w:pPr>
        <w:pStyle w:val="ListParagraph"/>
        <w:numPr>
          <w:ilvl w:val="0"/>
          <w:numId w:val="2"/>
        </w:numPr>
      </w:pPr>
      <w:r>
        <w:rPr>
          <w:b/>
          <w:bCs/>
        </w:rPr>
        <w:t xml:space="preserve">Application Details: </w:t>
      </w:r>
      <w:r>
        <w:t xml:space="preserve">Loan amount, term, purpose (purchase, refinance, cash-out)</w:t>
      </w:r>
    </w:p>
    <w:p>
      <w:pPr>
        <w:pStyle w:val="ListParagraph"/>
        <w:numPr>
          <w:ilvl w:val="0"/>
          <w:numId w:val="2"/>
        </w:numPr>
        <w:spacing w:after="200"/>
      </w:pPr>
      <w:r>
        <w:rPr>
          <w:b/>
          <w:bCs/>
        </w:rPr>
        <w:t xml:space="preserve">Alternative Data: </w:t>
      </w:r>
      <w:r>
        <w:t xml:space="preserve">Rental payment history, utility payments, employment stability indicators</w:t>
      </w:r>
    </w:p>
    <w:p>
      <w:pPr>
        <w:pStyle w:val="Heading3"/>
      </w:pPr>
      <w:r>
        <w:t xml:space="preserve">Processing Pipeline</w:t>
      </w:r>
    </w:p>
    <w:p>
      <w:pPr>
        <w:spacing w:after="100" w:line="360"/>
      </w:pPr>
      <w:r>
        <w:rPr>
          <w:b/>
          <w:bCs/>
        </w:rPr>
        <w:t xml:space="preserve">1. Data Ingestion: </w:t>
      </w:r>
      <w:r>
        <w:t xml:space="preserve">Automated extraction from credit bureaus, income verification services, and internal databases</w:t>
      </w:r>
    </w:p>
    <w:p>
      <w:pPr>
        <w:spacing w:after="100" w:line="360"/>
      </w:pPr>
      <w:r>
        <w:rPr>
          <w:b/>
          <w:bCs/>
        </w:rPr>
        <w:t xml:space="preserve">2. Feature Engineering: </w:t>
      </w:r>
      <w:r>
        <w:t xml:space="preserve">Calculation of 120+ derived risk features (e.g., DTI, LTV, credit utilization trends, payment shock ratio)</w:t>
      </w:r>
    </w:p>
    <w:p>
      <w:pPr>
        <w:spacing w:after="100" w:line="360"/>
      </w:pPr>
      <w:r>
        <w:rPr>
          <w:b/>
          <w:bCs/>
        </w:rPr>
        <w:t xml:space="preserve">3. Risk Scoring: </w:t>
      </w:r>
      <w:r>
        <w:t xml:space="preserve">ML model generates probability of default (0.00-1.00 scale) and risk classification (Low/Medium/High)</w:t>
      </w:r>
    </w:p>
    <w:p>
      <w:pPr>
        <w:spacing w:after="100" w:line="360"/>
      </w:pPr>
      <w:r>
        <w:rPr>
          <w:b/>
          <w:bCs/>
        </w:rPr>
        <w:t xml:space="preserve">4. Decision Logic: </w:t>
      </w:r>
      <w:r>
        <w:t xml:space="preserve">Rule-based layer applies lending policies, regulatory constraints, and business rules</w:t>
      </w:r>
    </w:p>
    <w:p>
      <w:pPr>
        <w:spacing w:after="100" w:line="360"/>
      </w:pPr>
      <w:r>
        <w:rPr>
          <w:b/>
          <w:bCs/>
        </w:rPr>
        <w:t xml:space="preserve">5. Recommendation Output: </w:t>
      </w:r>
      <w:r>
        <w:t xml:space="preserve">Approve (40% auto-approval), Approve with Conditions, Manual Review (25%), or Deny</w:t>
      </w:r>
    </w:p>
    <w:p>
      <w:pPr>
        <w:spacing w:after="200" w:line="360"/>
      </w:pPr>
      <w:r>
        <w:rPr>
          <w:b/>
          <w:bCs/>
        </w:rPr>
        <w:t xml:space="preserve">6. Explainability Layer: </w:t>
      </w:r>
      <w:r>
        <w:t xml:space="preserve">SHAP values generate reason codes and applicant-facing explanations</w:t>
      </w:r>
    </w:p>
    <w:p>
      <w:pPr>
        <w:pStyle w:val="Heading3"/>
      </w:pPr>
      <w:r>
        <w:t xml:space="preserve">System Performance Metrics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D5E8F0" w:val="clear"/>
          </w:tcPr>
          <w:p>
            <w:pPr>
              <w:jc w:val="center"/>
            </w:pPr>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Pr>
          <w:p>
            <w:pPr>
              <w:jc w:val="center"/>
            </w:pPr>
            <w:r>
              <w:rPr>
                <w:b/>
                <w:bCs/>
              </w:rPr>
              <w:t xml:space="preserve">Value</w:t>
            </w:r>
          </w:p>
        </w:tc>
      </w:tr>
      <w:tr>
        <w:tc>
          <w:tcPr>
            <w:tcW w:type="dxa" w:w="4680"/>
            <w:tcBorders>
              <w:top w:val="single" w:color="CCCCCC" w:sz="1"/>
              <w:left w:val="single" w:color="CCCCCC" w:sz="1"/>
              <w:bottom w:val="single" w:color="CCCCCC" w:sz="1"/>
              <w:right w:val="single" w:color="CCCCCC" w:sz="1"/>
            </w:tcBorders>
          </w:tcPr>
          <w:p>
            <w:r>
              <w:t xml:space="preserve">Processing Volume</w:t>
            </w:r>
          </w:p>
        </w:tc>
        <w:tc>
          <w:tcPr>
            <w:tcW w:type="dxa" w:w="4680"/>
            <w:tcBorders>
              <w:top w:val="single" w:color="CCCCCC" w:sz="1"/>
              <w:left w:val="single" w:color="CCCCCC" w:sz="1"/>
              <w:bottom w:val="single" w:color="CCCCCC" w:sz="1"/>
              <w:right w:val="single" w:color="CCCCCC" w:sz="1"/>
            </w:tcBorders>
          </w:tcPr>
          <w:p>
            <w:r>
              <w:t xml:space="preserve">~12,000 mortgage applications per month</w:t>
            </w:r>
          </w:p>
        </w:tc>
      </w:tr>
      <w:tr>
        <w:tc>
          <w:tcPr>
            <w:tcW w:type="dxa" w:w="4680"/>
            <w:tcBorders>
              <w:top w:val="single" w:color="CCCCCC" w:sz="1"/>
              <w:left w:val="single" w:color="CCCCCC" w:sz="1"/>
              <w:bottom w:val="single" w:color="CCCCCC" w:sz="1"/>
              <w:right w:val="single" w:color="CCCCCC" w:sz="1"/>
            </w:tcBorders>
          </w:tcPr>
          <w:p>
            <w:r>
              <w:t xml:space="preserve">Processing Speed</w:t>
            </w:r>
          </w:p>
        </w:tc>
        <w:tc>
          <w:tcPr>
            <w:tcW w:type="dxa" w:w="4680"/>
            <w:tcBorders>
              <w:top w:val="single" w:color="CCCCCC" w:sz="1"/>
              <w:left w:val="single" w:color="CCCCCC" w:sz="1"/>
              <w:bottom w:val="single" w:color="CCCCCC" w:sz="1"/>
              <w:right w:val="single" w:color="CCCCCC" w:sz="1"/>
            </w:tcBorders>
          </w:tcPr>
          <w:p>
            <w:r>
              <w:t xml:space="preserve">&lt;30 seconds per application for automated decisions</w:t>
            </w:r>
          </w:p>
        </w:tc>
      </w:tr>
      <w:tr>
        <w:tc>
          <w:tcPr>
            <w:tcW w:type="dxa" w:w="4680"/>
            <w:tcBorders>
              <w:top w:val="single" w:color="CCCCCC" w:sz="1"/>
              <w:left w:val="single" w:color="CCCCCC" w:sz="1"/>
              <w:bottom w:val="single" w:color="CCCCCC" w:sz="1"/>
              <w:right w:val="single" w:color="CCCCCC" w:sz="1"/>
            </w:tcBorders>
          </w:tcPr>
          <w:p>
            <w:r>
              <w:t xml:space="preserve">Current Accuracy</w:t>
            </w:r>
          </w:p>
        </w:tc>
        <w:tc>
          <w:tcPr>
            <w:tcW w:type="dxa" w:w="4680"/>
            <w:tcBorders>
              <w:top w:val="single" w:color="CCCCCC" w:sz="1"/>
              <w:left w:val="single" w:color="CCCCCC" w:sz="1"/>
              <w:bottom w:val="single" w:color="CCCCCC" w:sz="1"/>
              <w:right w:val="single" w:color="CCCCCC" w:sz="1"/>
            </w:tcBorders>
          </w:tcPr>
          <w:p>
            <w:r>
              <w:t xml:space="preserve">90.3% (validated against 12-month default outcomes)</w:t>
            </w:r>
          </w:p>
        </w:tc>
      </w:tr>
      <w:tr>
        <w:tc>
          <w:tcPr>
            <w:tcW w:type="dxa" w:w="4680"/>
            <w:tcBorders>
              <w:top w:val="single" w:color="CCCCCC" w:sz="1"/>
              <w:left w:val="single" w:color="CCCCCC" w:sz="1"/>
              <w:bottom w:val="single" w:color="CCCCCC" w:sz="1"/>
              <w:right w:val="single" w:color="CCCCCC" w:sz="1"/>
            </w:tcBorders>
          </w:tcPr>
          <w:p>
            <w:r>
              <w:t xml:space="preserve">Human Override Rate</w:t>
            </w:r>
          </w:p>
        </w:tc>
        <w:tc>
          <w:tcPr>
            <w:tcW w:type="dxa" w:w="4680"/>
            <w:tcBorders>
              <w:top w:val="single" w:color="CCCCCC" w:sz="1"/>
              <w:left w:val="single" w:color="CCCCCC" w:sz="1"/>
              <w:bottom w:val="single" w:color="CCCCCC" w:sz="1"/>
              <w:right w:val="single" w:color="CCCCCC" w:sz="1"/>
            </w:tcBorders>
          </w:tcPr>
          <w:p>
            <w:r>
              <w:t xml:space="preserve">8.5% (underwriters overturn model recommendations)</w:t>
            </w:r>
          </w:p>
        </w:tc>
      </w:tr>
    </w:tbl>
    <w:p>
      <w:pPr>
        <w:pStyle w:val="Heading1"/>
      </w:pPr>
      <w:r>
        <w:t xml:space="preserve">3. Stakeholders</w:t>
      </w:r>
    </w:p>
    <w:p>
      <w:pPr>
        <w:pStyle w:val="Heading2"/>
      </w:pPr>
      <w:r>
        <w:t xml:space="preserve">3.1 Primary Stakeholders (Direct Users and Impact)</w:t>
      </w:r>
    </w:p>
    <w:p>
      <w:pPr>
        <w:pStyle w:val="Heading3"/>
      </w:pPr>
      <w:r>
        <w:t xml:space="preserve">1. Loan Applicants</w:t>
      </w:r>
    </w:p>
    <w:p>
      <w:pPr>
        <w:pStyle w:val="ListParagraph"/>
        <w:numPr>
          <w:ilvl w:val="0"/>
          <w:numId w:val="2"/>
        </w:numPr>
      </w:pPr>
      <w:r>
        <w:rPr>
          <w:b/>
          <w:bCs/>
        </w:rPr>
        <w:t xml:space="preserve">Role: </w:t>
      </w:r>
      <w:r>
        <w:t xml:space="preserve">Individuals and families applying for mortgage loans (purchase, refinance, home equity)</w:t>
      </w:r>
    </w:p>
    <w:p>
      <w:pPr>
        <w:pStyle w:val="ListParagraph"/>
        <w:numPr>
          <w:ilvl w:val="0"/>
          <w:numId w:val="2"/>
        </w:numPr>
      </w:pPr>
      <w:r>
        <w:rPr>
          <w:b/>
          <w:bCs/>
        </w:rPr>
        <w:t xml:space="preserve">Impact: </w:t>
      </w:r>
      <w:r>
        <w:t xml:space="preserve">Receive faster loan decisions, transparent explanations, and fair treatment</w:t>
      </w:r>
    </w:p>
    <w:p>
      <w:pPr>
        <w:pStyle w:val="ListParagraph"/>
        <w:numPr>
          <w:ilvl w:val="0"/>
          <w:numId w:val="2"/>
        </w:numPr>
      </w:pPr>
      <w:r>
        <w:rPr>
          <w:b/>
          <w:bCs/>
        </w:rPr>
        <w:t xml:space="preserve">Concerns: </w:t>
      </w:r>
      <w:r>
        <w:t xml:space="preserve">Fairness, privacy, explainability of denials, data security</w:t>
      </w:r>
    </w:p>
    <w:p>
      <w:pPr>
        <w:pStyle w:val="ListParagraph"/>
        <w:numPr>
          <w:ilvl w:val="0"/>
          <w:numId w:val="2"/>
        </w:numPr>
        <w:spacing w:after="200"/>
      </w:pPr>
      <w:r>
        <w:rPr>
          <w:b/>
          <w:bCs/>
        </w:rPr>
        <w:t xml:space="preserve">Expectations: </w:t>
      </w:r>
      <w:r>
        <w:t xml:space="preserve">Accurate assessments, consistent treatment, reasonable rates</w:t>
      </w:r>
    </w:p>
    <w:p>
      <w:pPr>
        <w:pStyle w:val="Heading3"/>
      </w:pPr>
      <w:r>
        <w:t xml:space="preserve">2. Loan Underwriters and Processors</w:t>
      </w:r>
    </w:p>
    <w:p>
      <w:pPr>
        <w:pStyle w:val="ListParagraph"/>
        <w:numPr>
          <w:ilvl w:val="0"/>
          <w:numId w:val="2"/>
        </w:numPr>
      </w:pPr>
      <w:r>
        <w:rPr>
          <w:b/>
          <w:bCs/>
        </w:rPr>
        <w:t xml:space="preserve">Role: </w:t>
      </w:r>
      <w:r>
        <w:t xml:space="preserve">Review flagged applications, validate model recommendations, make final decisions</w:t>
      </w:r>
    </w:p>
    <w:p>
      <w:pPr>
        <w:pStyle w:val="ListParagraph"/>
        <w:numPr>
          <w:ilvl w:val="0"/>
          <w:numId w:val="2"/>
        </w:numPr>
      </w:pPr>
      <w:r>
        <w:rPr>
          <w:b/>
          <w:bCs/>
        </w:rPr>
        <w:t xml:space="preserve">Impact: </w:t>
      </w:r>
      <w:r>
        <w:t xml:space="preserve">Workflow efficiency improved; focus on complex cases</w:t>
      </w:r>
    </w:p>
    <w:p>
      <w:pPr>
        <w:pStyle w:val="ListParagraph"/>
        <w:numPr>
          <w:ilvl w:val="0"/>
          <w:numId w:val="2"/>
        </w:numPr>
      </w:pPr>
      <w:r>
        <w:rPr>
          <w:b/>
          <w:bCs/>
        </w:rPr>
        <w:t xml:space="preserve">Concerns: </w:t>
      </w:r>
      <w:r>
        <w:t xml:space="preserve">Model reliability, override flexibility, liability for AI-assisted decisions</w:t>
      </w:r>
    </w:p>
    <w:p>
      <w:pPr>
        <w:pStyle w:val="ListParagraph"/>
        <w:numPr>
          <w:ilvl w:val="0"/>
          <w:numId w:val="2"/>
        </w:numPr>
        <w:spacing w:after="200"/>
      </w:pPr>
      <w:r>
        <w:rPr>
          <w:b/>
          <w:bCs/>
        </w:rPr>
        <w:t xml:space="preserve">Expectations: </w:t>
      </w:r>
      <w:r>
        <w:t xml:space="preserve">Accurate risk scores, clear explanations, ability to override when appropriate</w:t>
      </w:r>
    </w:p>
    <w:p>
      <w:pPr>
        <w:pStyle w:val="Heading3"/>
      </w:pPr>
      <w:r>
        <w:t xml:space="preserve">3. Loan Officers and Originators</w:t>
      </w:r>
    </w:p>
    <w:p>
      <w:pPr>
        <w:pStyle w:val="ListParagraph"/>
        <w:numPr>
          <w:ilvl w:val="0"/>
          <w:numId w:val="2"/>
        </w:numPr>
      </w:pPr>
      <w:r>
        <w:rPr>
          <w:b/>
          <w:bCs/>
        </w:rPr>
        <w:t xml:space="preserve">Role: </w:t>
      </w:r>
      <w:r>
        <w:t xml:space="preserve">Advise applicants, pre-screen applications, communicate decisions</w:t>
      </w:r>
    </w:p>
    <w:p>
      <w:pPr>
        <w:pStyle w:val="ListParagraph"/>
        <w:numPr>
          <w:ilvl w:val="0"/>
          <w:numId w:val="2"/>
        </w:numPr>
      </w:pPr>
      <w:r>
        <w:rPr>
          <w:b/>
          <w:bCs/>
        </w:rPr>
        <w:t xml:space="preserve">Impact: </w:t>
      </w:r>
      <w:r>
        <w:t xml:space="preserve">Faster turnaround enables higher throughput and customer satisfaction</w:t>
      </w:r>
    </w:p>
    <w:p>
      <w:pPr>
        <w:pStyle w:val="ListParagraph"/>
        <w:numPr>
          <w:ilvl w:val="0"/>
          <w:numId w:val="2"/>
        </w:numPr>
      </w:pPr>
      <w:r>
        <w:rPr>
          <w:b/>
          <w:bCs/>
        </w:rPr>
        <w:t xml:space="preserve">Concerns: </w:t>
      </w:r>
      <w:r>
        <w:t xml:space="preserve">Ability to explain denials, maintaining customer relationships</w:t>
      </w:r>
    </w:p>
    <w:p>
      <w:pPr>
        <w:pStyle w:val="ListParagraph"/>
        <w:numPr>
          <w:ilvl w:val="0"/>
          <w:numId w:val="2"/>
        </w:numPr>
        <w:spacing w:after="200"/>
      </w:pPr>
      <w:r>
        <w:rPr>
          <w:b/>
          <w:bCs/>
        </w:rPr>
        <w:t xml:space="preserve">Expectations: </w:t>
      </w:r>
      <w:r>
        <w:t xml:space="preserve">Transparent reason codes, competitive approval rates</w:t>
      </w:r>
    </w:p>
    <w:p>
      <w:pPr>
        <w:pStyle w:val="Heading2"/>
      </w:pPr>
      <w:r>
        <w:t xml:space="preserve">3.2 Secondary Stakeholders (Organizational Leadership)</w:t>
      </w:r>
    </w:p>
    <w:p>
      <w:pPr>
        <w:pStyle w:val="Heading3"/>
      </w:pPr>
      <w:r>
        <w:t xml:space="preserve">4. Executive Leadership (CEO, CFO, CRO)</w:t>
      </w:r>
    </w:p>
    <w:p>
      <w:pPr>
        <w:pStyle w:val="ListParagraph"/>
        <w:numPr>
          <w:ilvl w:val="0"/>
          <w:numId w:val="2"/>
        </w:numPr>
      </w:pPr>
      <w:r>
        <w:rPr>
          <w:b/>
          <w:bCs/>
        </w:rPr>
        <w:t xml:space="preserve">Role: </w:t>
      </w:r>
      <w:r>
        <w:t xml:space="preserve">Strategic oversight, risk management, financial performance</w:t>
      </w:r>
    </w:p>
    <w:p>
      <w:pPr>
        <w:pStyle w:val="ListParagraph"/>
        <w:numPr>
          <w:ilvl w:val="0"/>
          <w:numId w:val="2"/>
        </w:numPr>
      </w:pPr>
      <w:r>
        <w:rPr>
          <w:b/>
          <w:bCs/>
        </w:rPr>
        <w:t xml:space="preserve">Concerns: </w:t>
      </w:r>
      <w:r>
        <w:t xml:space="preserve">Default rates, fair lending compliance, shareholder value</w:t>
      </w:r>
    </w:p>
    <w:p>
      <w:pPr>
        <w:pStyle w:val="ListParagraph"/>
        <w:numPr>
          <w:ilvl w:val="0"/>
          <w:numId w:val="2"/>
        </w:numPr>
        <w:spacing w:after="200"/>
      </w:pPr>
      <w:r>
        <w:rPr>
          <w:b/>
          <w:bCs/>
        </w:rPr>
        <w:t xml:space="preserve">Expectations: </w:t>
      </w:r>
      <w:r>
        <w:t xml:space="preserve">ROI on AI investment, risk-adjusted returns, regulatory compliance</w:t>
      </w:r>
    </w:p>
    <w:p>
      <w:pPr>
        <w:pStyle w:val="Heading3"/>
      </w:pPr>
      <w:r>
        <w:t xml:space="preserve">5. Compliance Officer and Legal Team</w:t>
      </w:r>
    </w:p>
    <w:p>
      <w:pPr>
        <w:pStyle w:val="ListParagraph"/>
        <w:numPr>
          <w:ilvl w:val="0"/>
          <w:numId w:val="2"/>
        </w:numPr>
      </w:pPr>
      <w:r>
        <w:rPr>
          <w:b/>
          <w:bCs/>
        </w:rPr>
        <w:t xml:space="preserve">Role: </w:t>
      </w:r>
      <w:r>
        <w:t xml:space="preserve">Ensure adherence to ECOA, FHA, CFPB regulations, state lending laws</w:t>
      </w:r>
    </w:p>
    <w:p>
      <w:pPr>
        <w:pStyle w:val="ListParagraph"/>
        <w:numPr>
          <w:ilvl w:val="0"/>
          <w:numId w:val="2"/>
        </w:numPr>
      </w:pPr>
      <w:r>
        <w:rPr>
          <w:b/>
          <w:bCs/>
        </w:rPr>
        <w:t xml:space="preserve">Concerns: </w:t>
      </w:r>
      <w:r>
        <w:t xml:space="preserve">Algorithmic bias, discriminatory outcomes, regulatory enforcement</w:t>
      </w:r>
    </w:p>
    <w:p>
      <w:pPr>
        <w:pStyle w:val="ListParagraph"/>
        <w:numPr>
          <w:ilvl w:val="0"/>
          <w:numId w:val="2"/>
        </w:numPr>
        <w:spacing w:after="200"/>
      </w:pPr>
      <w:r>
        <w:rPr>
          <w:b/>
          <w:bCs/>
        </w:rPr>
        <w:t xml:space="preserve">Expectations: </w:t>
      </w:r>
      <w:r>
        <w:t xml:space="preserve">Zero violations, audit trail, bias monitoring, explainability</w:t>
      </w:r>
    </w:p>
    <w:p>
      <w:pPr>
        <w:pStyle w:val="Heading3"/>
      </w:pPr>
      <w:r>
        <w:t xml:space="preserve">6. Data Science and AI Team</w:t>
      </w:r>
    </w:p>
    <w:p>
      <w:pPr>
        <w:pStyle w:val="ListParagraph"/>
        <w:numPr>
          <w:ilvl w:val="0"/>
          <w:numId w:val="2"/>
        </w:numPr>
      </w:pPr>
      <w:r>
        <w:rPr>
          <w:b/>
          <w:bCs/>
        </w:rPr>
        <w:t xml:space="preserve">Role: </w:t>
      </w:r>
      <w:r>
        <w:t xml:space="preserve">Model development, training, validation, monitoring, retraining</w:t>
      </w:r>
    </w:p>
    <w:p>
      <w:pPr>
        <w:pStyle w:val="ListParagraph"/>
        <w:numPr>
          <w:ilvl w:val="0"/>
          <w:numId w:val="2"/>
        </w:numPr>
      </w:pPr>
      <w:r>
        <w:rPr>
          <w:b/>
          <w:bCs/>
        </w:rPr>
        <w:t xml:space="preserve">Concerns: </w:t>
      </w:r>
      <w:r>
        <w:t xml:space="preserve">Model drift, data quality, fairness metrics, technical debt</w:t>
      </w:r>
    </w:p>
    <w:p>
      <w:pPr>
        <w:pStyle w:val="ListParagraph"/>
        <w:numPr>
          <w:ilvl w:val="0"/>
          <w:numId w:val="2"/>
        </w:numPr>
        <w:spacing w:after="200"/>
      </w:pPr>
      <w:r>
        <w:rPr>
          <w:b/>
          <w:bCs/>
        </w:rPr>
        <w:t xml:space="preserve">Expectations: </w:t>
      </w:r>
      <w:r>
        <w:t xml:space="preserve">Access to quality data, computational resources, governance support</w:t>
      </w:r>
    </w:p>
    <w:p>
      <w:pPr>
        <w:pStyle w:val="Heading3"/>
      </w:pPr>
      <w:r>
        <w:t xml:space="preserve">7. IT Security and Infrastructure</w:t>
      </w:r>
    </w:p>
    <w:p>
      <w:pPr>
        <w:pStyle w:val="ListParagraph"/>
        <w:numPr>
          <w:ilvl w:val="0"/>
          <w:numId w:val="2"/>
        </w:numPr>
      </w:pPr>
      <w:r>
        <w:rPr>
          <w:b/>
          <w:bCs/>
        </w:rPr>
        <w:t xml:space="preserve">Role: </w:t>
      </w:r>
      <w:r>
        <w:t xml:space="preserve">Data protection, system availability, cybersecurity, cloud infrastructure</w:t>
      </w:r>
    </w:p>
    <w:p>
      <w:pPr>
        <w:pStyle w:val="ListParagraph"/>
        <w:numPr>
          <w:ilvl w:val="0"/>
          <w:numId w:val="2"/>
        </w:numPr>
      </w:pPr>
      <w:r>
        <w:rPr>
          <w:b/>
          <w:bCs/>
        </w:rPr>
        <w:t xml:space="preserve">Concerns: </w:t>
      </w:r>
      <w:r>
        <w:t xml:space="preserve">PII/financial data exposure, vendor security, insider threats</w:t>
      </w:r>
    </w:p>
    <w:p>
      <w:pPr>
        <w:pStyle w:val="ListParagraph"/>
        <w:numPr>
          <w:ilvl w:val="0"/>
          <w:numId w:val="2"/>
        </w:numPr>
        <w:spacing w:after="200"/>
      </w:pPr>
      <w:r>
        <w:rPr>
          <w:b/>
          <w:bCs/>
        </w:rPr>
        <w:t xml:space="preserve">Expectations: </w:t>
      </w:r>
      <w:r>
        <w:t xml:space="preserve">Secure architecture, encryption, access controls, incident response</w:t>
      </w:r>
    </w:p>
    <w:p>
      <w:pPr>
        <w:pStyle w:val="Heading3"/>
      </w:pPr>
      <w:r>
        <w:t xml:space="preserve">8. AI Ethics and Governance Board</w:t>
      </w:r>
    </w:p>
    <w:p>
      <w:pPr>
        <w:pStyle w:val="ListParagraph"/>
        <w:numPr>
          <w:ilvl w:val="0"/>
          <w:numId w:val="2"/>
        </w:numPr>
      </w:pPr>
      <w:r>
        <w:rPr>
          <w:b/>
          <w:bCs/>
        </w:rPr>
        <w:t xml:space="preserve">Role: </w:t>
      </w:r>
      <w:r>
        <w:t xml:space="preserve">Oversight of AI risk management, fairness reviews, policy approval</w:t>
      </w:r>
    </w:p>
    <w:p>
      <w:pPr>
        <w:pStyle w:val="ListParagraph"/>
        <w:numPr>
          <w:ilvl w:val="0"/>
          <w:numId w:val="2"/>
        </w:numPr>
      </w:pPr>
      <w:r>
        <w:rPr>
          <w:b/>
          <w:bCs/>
        </w:rPr>
        <w:t xml:space="preserve">Concerns: </w:t>
      </w:r>
      <w:r>
        <w:t xml:space="preserve">Bias in outcomes, transparency, accountability</w:t>
      </w:r>
    </w:p>
    <w:p>
      <w:pPr>
        <w:pStyle w:val="ListParagraph"/>
        <w:numPr>
          <w:ilvl w:val="0"/>
          <w:numId w:val="2"/>
        </w:numPr>
        <w:spacing w:after="200"/>
      </w:pPr>
      <w:r>
        <w:rPr>
          <w:b/>
          <w:bCs/>
        </w:rPr>
        <w:t xml:space="preserve">Expectations: </w:t>
      </w:r>
      <w:r>
        <w:t xml:space="preserve">Regular reporting, bias audits, compliance with NIST AI RMF</w:t>
      </w:r>
    </w:p>
    <w:p>
      <w:pPr>
        <w:pStyle w:val="Heading2"/>
      </w:pPr>
      <w:r>
        <w:t xml:space="preserve">3.3 External Stakeholders</w:t>
      </w:r>
    </w:p>
    <w:p>
      <w:pPr>
        <w:pStyle w:val="Heading3"/>
      </w:pPr>
      <w:r>
        <w:t xml:space="preserve">9. Regulatory Agencies</w:t>
      </w:r>
    </w:p>
    <w:p>
      <w:pPr>
        <w:pStyle w:val="ListParagraph"/>
        <w:numPr>
          <w:ilvl w:val="0"/>
          <w:numId w:val="2"/>
        </w:numPr>
      </w:pPr>
      <w:r>
        <w:rPr>
          <w:b/>
          <w:bCs/>
        </w:rPr>
        <w:t xml:space="preserve">CFPB: </w:t>
      </w:r>
      <w:r>
        <w:t xml:space="preserve">Consumer Financial Protection Bureau - Fair lending enforcement</w:t>
      </w:r>
    </w:p>
    <w:p>
      <w:pPr>
        <w:pStyle w:val="ListParagraph"/>
        <w:numPr>
          <w:ilvl w:val="0"/>
          <w:numId w:val="2"/>
        </w:numPr>
      </w:pPr>
      <w:r>
        <w:rPr>
          <w:b/>
          <w:bCs/>
        </w:rPr>
        <w:t xml:space="preserve">OCC: </w:t>
      </w:r>
      <w:r>
        <w:t xml:space="preserve">Office of the Comptroller of the Currency - Bank supervision</w:t>
      </w:r>
    </w:p>
    <w:p>
      <w:pPr>
        <w:pStyle w:val="ListParagraph"/>
        <w:numPr>
          <w:ilvl w:val="0"/>
          <w:numId w:val="2"/>
        </w:numPr>
      </w:pPr>
      <w:r>
        <w:rPr>
          <w:b/>
          <w:bCs/>
        </w:rPr>
        <w:t xml:space="preserve">FTC: </w:t>
      </w:r>
      <w:r>
        <w:t xml:space="preserve">Federal Trade Commission - Consumer protection, AI transparency</w:t>
      </w:r>
    </w:p>
    <w:p>
      <w:pPr>
        <w:pStyle w:val="ListParagraph"/>
        <w:numPr>
          <w:ilvl w:val="0"/>
          <w:numId w:val="2"/>
        </w:numPr>
      </w:pPr>
      <w:r>
        <w:rPr>
          <w:b/>
          <w:bCs/>
        </w:rPr>
        <w:t xml:space="preserve">HUD: </w:t>
      </w:r>
      <w:r>
        <w:t xml:space="preserve">Housing and Urban Development - Fair Housing Act enforcement</w:t>
      </w:r>
    </w:p>
    <w:p>
      <w:pPr>
        <w:pStyle w:val="ListParagraph"/>
        <w:numPr>
          <w:ilvl w:val="0"/>
          <w:numId w:val="2"/>
        </w:numPr>
        <w:spacing w:after="200"/>
      </w:pPr>
      <w:r>
        <w:rPr>
          <w:b/>
          <w:bCs/>
        </w:rPr>
        <w:t xml:space="preserve">Expectations: </w:t>
      </w:r>
      <w:r>
        <w:t xml:space="preserve">Compliance with fair lending laws, audit cooperation, transparency</w:t>
      </w:r>
    </w:p>
    <w:p>
      <w:pPr>
        <w:pStyle w:val="Heading3"/>
      </w:pPr>
      <w:r>
        <w:t xml:space="preserve">10. Credit Bureaus and Data Providers</w:t>
      </w:r>
    </w:p>
    <w:p>
      <w:pPr>
        <w:pStyle w:val="ListParagraph"/>
        <w:numPr>
          <w:ilvl w:val="0"/>
          <w:numId w:val="2"/>
        </w:numPr>
      </w:pPr>
      <w:r>
        <w:rPr>
          <w:b/>
          <w:bCs/>
        </w:rPr>
        <w:t xml:space="preserve">Role: </w:t>
      </w:r>
      <w:r>
        <w:t xml:space="preserve">Provide credit reports, income verification, identity validation</w:t>
      </w:r>
    </w:p>
    <w:p>
      <w:pPr>
        <w:pStyle w:val="ListParagraph"/>
        <w:numPr>
          <w:ilvl w:val="0"/>
          <w:numId w:val="2"/>
        </w:numPr>
      </w:pPr>
      <w:r>
        <w:rPr>
          <w:b/>
          <w:bCs/>
        </w:rPr>
        <w:t xml:space="preserve">Organizations: </w:t>
      </w:r>
      <w:r>
        <w:t xml:space="preserve">Experian, TransUnion, Equifax, The Work Number</w:t>
      </w:r>
    </w:p>
    <w:p>
      <w:pPr>
        <w:pStyle w:val="ListParagraph"/>
        <w:numPr>
          <w:ilvl w:val="0"/>
          <w:numId w:val="2"/>
        </w:numPr>
        <w:spacing w:after="200"/>
      </w:pPr>
      <w:r>
        <w:rPr>
          <w:b/>
          <w:bCs/>
        </w:rPr>
        <w:t xml:space="preserve">Expectations: </w:t>
      </w:r>
      <w:r>
        <w:t xml:space="preserve">Secure data handling, FCRA compliance, contractual obligations</w:t>
      </w:r>
    </w:p>
    <w:p>
      <w:pPr>
        <w:pStyle w:val="Heading3"/>
      </w:pPr>
      <w:r>
        <w:t xml:space="preserve">11. Third-Party Auditors</w:t>
      </w:r>
    </w:p>
    <w:p>
      <w:pPr>
        <w:pStyle w:val="ListParagraph"/>
        <w:numPr>
          <w:ilvl w:val="0"/>
          <w:numId w:val="2"/>
        </w:numPr>
      </w:pPr>
      <w:r>
        <w:rPr>
          <w:b/>
          <w:bCs/>
        </w:rPr>
        <w:t xml:space="preserve">Role: </w:t>
      </w:r>
      <w:r>
        <w:t xml:space="preserve">Independent validation of model performance, bias testing, security audits</w:t>
      </w:r>
    </w:p>
    <w:p>
      <w:pPr>
        <w:pStyle w:val="ListParagraph"/>
        <w:numPr>
          <w:ilvl w:val="0"/>
          <w:numId w:val="2"/>
        </w:numPr>
        <w:spacing w:after="200"/>
      </w:pPr>
      <w:r>
        <w:rPr>
          <w:b/>
          <w:bCs/>
        </w:rPr>
        <w:t xml:space="preserve">Expectations: </w:t>
      </w:r>
      <w:r>
        <w:t xml:space="preserve">Comprehensive documentation, reproducible results, control evidence</w:t>
      </w:r>
    </w:p>
    <w:p>
      <w:pPr>
        <w:pStyle w:val="Heading3"/>
      </w:pPr>
      <w:r>
        <w:t xml:space="preserve">12. Investors and Shareholders</w:t>
      </w:r>
    </w:p>
    <w:p>
      <w:pPr>
        <w:pStyle w:val="ListParagraph"/>
        <w:numPr>
          <w:ilvl w:val="0"/>
          <w:numId w:val="2"/>
        </w:numPr>
      </w:pPr>
      <w:r>
        <w:rPr>
          <w:b/>
          <w:bCs/>
        </w:rPr>
        <w:t xml:space="preserve">Role: </w:t>
      </w:r>
      <w:r>
        <w:t xml:space="preserve">Provide capital, expect returns, monitor risk</w:t>
      </w:r>
    </w:p>
    <w:p>
      <w:pPr>
        <w:pStyle w:val="ListParagraph"/>
        <w:numPr>
          <w:ilvl w:val="0"/>
          <w:numId w:val="2"/>
        </w:numPr>
      </w:pPr>
      <w:r>
        <w:rPr>
          <w:b/>
          <w:bCs/>
        </w:rPr>
        <w:t xml:space="preserve">Concerns: </w:t>
      </w:r>
      <w:r>
        <w:t xml:space="preserve">Default rates, fair lending lawsuits, brand reputation</w:t>
      </w:r>
    </w:p>
    <w:p>
      <w:pPr>
        <w:pStyle w:val="ListParagraph"/>
        <w:numPr>
          <w:ilvl w:val="0"/>
          <w:numId w:val="2"/>
        </w:numPr>
        <w:spacing w:after="200"/>
      </w:pPr>
      <w:r>
        <w:rPr>
          <w:b/>
          <w:bCs/>
        </w:rPr>
        <w:t xml:space="preserve">Expectations: </w:t>
      </w:r>
      <w:r>
        <w:t xml:space="preserve">Competitive returns, prudent risk management, ESG compliance</w:t>
      </w:r>
    </w:p>
    <w:p>
      <w:pPr>
        <w:pStyle w:val="Heading3"/>
      </w:pPr>
      <w:r>
        <w:t xml:space="preserve">13. Consumer Advocacy Groups</w:t>
      </w:r>
    </w:p>
    <w:p>
      <w:pPr>
        <w:pStyle w:val="ListParagraph"/>
        <w:numPr>
          <w:ilvl w:val="0"/>
          <w:numId w:val="2"/>
        </w:numPr>
      </w:pPr>
      <w:r>
        <w:rPr>
          <w:b/>
          <w:bCs/>
        </w:rPr>
        <w:t xml:space="preserve">Organizations: </w:t>
      </w:r>
      <w:r>
        <w:t xml:space="preserve">National Fair Housing Alliance, National Consumer Law Center, NAACP</w:t>
      </w:r>
    </w:p>
    <w:p>
      <w:pPr>
        <w:pStyle w:val="ListParagraph"/>
        <w:numPr>
          <w:ilvl w:val="0"/>
          <w:numId w:val="2"/>
        </w:numPr>
      </w:pPr>
      <w:r>
        <w:rPr>
          <w:b/>
          <w:bCs/>
        </w:rPr>
        <w:t xml:space="preserve">Role: </w:t>
      </w:r>
      <w:r>
        <w:t xml:space="preserve">Monitor for discriminatory practices, advocate for borrower rights</w:t>
      </w:r>
    </w:p>
    <w:p>
      <w:pPr>
        <w:pStyle w:val="ListParagraph"/>
        <w:numPr>
          <w:ilvl w:val="0"/>
          <w:numId w:val="2"/>
        </w:numPr>
        <w:spacing w:after="200"/>
      </w:pPr>
      <w:r>
        <w:rPr>
          <w:b/>
          <w:bCs/>
        </w:rPr>
        <w:t xml:space="preserve">Expectations: </w:t>
      </w:r>
      <w:r>
        <w:t xml:space="preserve">Fair outcomes, public accountability, bias mitigation</w:t>
      </w:r>
    </w:p>
    <w:p>
      <w:pPr>
        <w:pStyle w:val="Heading1"/>
      </w:pPr>
      <w:r>
        <w:t xml:space="preserve">4. System Criticality Assessment</w:t>
      </w:r>
    </w:p>
    <w:p>
      <w:pPr>
        <w:spacing w:after="200" w:line="360"/>
      </w:pPr>
      <w:r>
        <w:rPr>
          <w:b/>
          <w:bCs/>
        </w:rPr>
        <w:t xml:space="preserve">Business Criticality Level: HIGH</w:t>
      </w:r>
    </w:p>
    <w:p>
      <w:pPr>
        <w:spacing w:after="200" w:line="360"/>
      </w:pPr>
      <w:r>
        <w:t xml:space="preserve">The AI-Powered Mortgage Loan Approval System is highly critical to Lakeview Loan Servicing's operations for the following reasons:</w:t>
      </w:r>
    </w:p>
    <w:p>
      <w:pPr>
        <w:pStyle w:val="ListParagraph"/>
        <w:numPr>
          <w:ilvl w:val="0"/>
          <w:numId w:val="2"/>
        </w:numPr>
      </w:pPr>
      <w:r>
        <w:rPr>
          <w:b/>
          <w:bCs/>
        </w:rPr>
        <w:t xml:space="preserve">Revenue Impact: </w:t>
      </w:r>
      <w:r>
        <w:t xml:space="preserve">Processes $3.2B in annual loan volume; system downtime costs ~$450K per day in delayed originations</w:t>
      </w:r>
    </w:p>
    <w:p>
      <w:pPr>
        <w:pStyle w:val="ListParagraph"/>
        <w:numPr>
          <w:ilvl w:val="0"/>
          <w:numId w:val="2"/>
        </w:numPr>
      </w:pPr>
      <w:r>
        <w:rPr>
          <w:b/>
          <w:bCs/>
        </w:rPr>
        <w:t xml:space="preserve">Regulatory Compliance: </w:t>
      </w:r>
      <w:r>
        <w:t xml:space="preserve">Non-compliance with fair lending laws could result in multi-million dollar penalties and consent orders</w:t>
      </w:r>
    </w:p>
    <w:p>
      <w:pPr>
        <w:pStyle w:val="ListParagraph"/>
        <w:numPr>
          <w:ilvl w:val="0"/>
          <w:numId w:val="2"/>
        </w:numPr>
      </w:pPr>
      <w:r>
        <w:rPr>
          <w:b/>
          <w:bCs/>
        </w:rPr>
        <w:t xml:space="preserve">Competitive Positioning: </w:t>
      </w:r>
      <w:r>
        <w:t xml:space="preserve">Fast, accurate decisions are key differentiators; system enables 48-hour approvals vs. industry average of 5-7 days</w:t>
      </w:r>
    </w:p>
    <w:p>
      <w:pPr>
        <w:pStyle w:val="ListParagraph"/>
        <w:numPr>
          <w:ilvl w:val="0"/>
          <w:numId w:val="2"/>
        </w:numPr>
      </w:pPr>
      <w:r>
        <w:rPr>
          <w:b/>
          <w:bCs/>
        </w:rPr>
        <w:t xml:space="preserve">Customer Trust: </w:t>
      </w:r>
      <w:r>
        <w:t xml:space="preserve">Mortgage lending is trust-intensive; discriminatory outcomes would cause severe reputational damage</w:t>
      </w:r>
    </w:p>
    <w:p>
      <w:pPr>
        <w:pStyle w:val="ListParagraph"/>
        <w:numPr>
          <w:ilvl w:val="0"/>
          <w:numId w:val="2"/>
        </w:numPr>
        <w:spacing w:after="200"/>
      </w:pPr>
      <w:r>
        <w:rPr>
          <w:b/>
          <w:bCs/>
        </w:rPr>
        <w:t xml:space="preserve">Operational Dependency: </w:t>
      </w:r>
      <w:r>
        <w:t xml:space="preserve">65% of applications now processed with AI assistance; manual-only processing would require 40% more underwriting staff</w:t>
      </w:r>
    </w:p>
    <w:p>
      <w:pPr>
        <w:spacing w:after="200" w:line="360"/>
      </w:pPr>
      <w:r>
        <w:rPr>
          <w:b/>
          <w:bCs/>
        </w:rPr>
        <w:t xml:space="preserve">Risk Classification: </w:t>
      </w:r>
      <w:r>
        <w:t xml:space="preserve">Given the combination of high business impact, significant regulatory scrutiny, sensitive personal data, and potential for discriminatory harm, this system requires </w:t>
      </w:r>
      <w:r>
        <w:rPr>
          <w:b/>
          <w:bCs/>
        </w:rPr>
        <w:t xml:space="preserve">comprehensive AI risk management</w:t>
      </w:r>
      <w:r>
        <w:t xml:space="preserve"> aligned with NIST AI RMF.</w:t>
      </w:r>
    </w:p>
    <w:p>
      <w:pPr>
        <w:pStyle w:val="Heading1"/>
      </w:pPr>
      <w:r>
        <w:t xml:space="preserve">5. Connection to Professional Context</w:t>
      </w:r>
    </w:p>
    <w:p>
      <w:pPr>
        <w:spacing w:after="200" w:line="360"/>
      </w:pPr>
      <w:r>
        <w:t xml:space="preserve">As a Data Engineer and Analyst at Lakeview Loan Servicing, I work directly with:</w:t>
      </w:r>
    </w:p>
    <w:p>
      <w:pPr>
        <w:pStyle w:val="ListParagraph"/>
        <w:numPr>
          <w:ilvl w:val="0"/>
          <w:numId w:val="2"/>
        </w:numPr>
      </w:pPr>
      <w:r>
        <w:rPr>
          <w:b/>
          <w:bCs/>
        </w:rPr>
        <w:t xml:space="preserve">Capital Marketing Analytics: </w:t>
      </w:r>
      <w:r>
        <w:t xml:space="preserve">Analyzing loan offer performance, customer segmentation, and portfolio risk</w:t>
      </w:r>
    </w:p>
    <w:p>
      <w:pPr>
        <w:pStyle w:val="ListParagraph"/>
        <w:numPr>
          <w:ilvl w:val="0"/>
          <w:numId w:val="2"/>
        </w:numPr>
      </w:pPr>
      <w:r>
        <w:rPr>
          <w:b/>
          <w:bCs/>
        </w:rPr>
        <w:t xml:space="preserve">Loan Offer Generation: </w:t>
      </w:r>
      <w:r>
        <w:t xml:space="preserve">Data pipelines supporting targeted marketing and pre-qualification models</w:t>
      </w:r>
    </w:p>
    <w:p>
      <w:pPr>
        <w:pStyle w:val="ListParagraph"/>
        <w:numPr>
          <w:ilvl w:val="0"/>
          <w:numId w:val="2"/>
        </w:numPr>
        <w:spacing w:after="200"/>
      </w:pPr>
      <w:r>
        <w:rPr>
          <w:b/>
          <w:bCs/>
        </w:rPr>
        <w:t xml:space="preserve">Mortgage Data Analysis: </w:t>
      </w:r>
      <w:r>
        <w:t xml:space="preserve">Statistical analysis of loan performance, default prediction, and regulatory reporting</w:t>
      </w:r>
    </w:p>
    <w:p>
      <w:pPr>
        <w:spacing w:after="200" w:line="360"/>
      </w:pPr>
      <w:r>
        <w:t xml:space="preserve">This AI risk assessment directly relates to my professional responsibilities by addressing:</w:t>
      </w:r>
    </w:p>
    <w:p>
      <w:pPr>
        <w:pStyle w:val="ListParagraph"/>
        <w:numPr>
          <w:ilvl w:val="0"/>
          <w:numId w:val="2"/>
        </w:numPr>
      </w:pPr>
      <w:r>
        <w:rPr>
          <w:b/>
          <w:bCs/>
        </w:rPr>
        <w:t xml:space="preserve">Data Quality and Governance: </w:t>
      </w:r>
      <w:r>
        <w:t xml:space="preserve">Ensuring training data represents diverse applicant populations</w:t>
      </w:r>
    </w:p>
    <w:p>
      <w:pPr>
        <w:pStyle w:val="ListParagraph"/>
        <w:numPr>
          <w:ilvl w:val="0"/>
          <w:numId w:val="2"/>
        </w:numPr>
      </w:pPr>
      <w:r>
        <w:rPr>
          <w:b/>
          <w:bCs/>
        </w:rPr>
        <w:t xml:space="preserve">Model Monitoring: </w:t>
      </w:r>
      <w:r>
        <w:t xml:space="preserve">Implementing dashboards to track fairness metrics and performance drift</w:t>
      </w:r>
    </w:p>
    <w:p>
      <w:pPr>
        <w:pStyle w:val="ListParagraph"/>
        <w:numPr>
          <w:ilvl w:val="0"/>
          <w:numId w:val="2"/>
        </w:numPr>
      </w:pPr>
      <w:r>
        <w:rPr>
          <w:b/>
          <w:bCs/>
        </w:rPr>
        <w:t xml:space="preserve">Regulatory Reporting: </w:t>
      </w:r>
      <w:r>
        <w:t xml:space="preserve">Supporting HMDA, fair lending, and model validation documentation</w:t>
      </w:r>
    </w:p>
    <w:p>
      <w:pPr>
        <w:pStyle w:val="ListParagraph"/>
        <w:numPr>
          <w:ilvl w:val="0"/>
          <w:numId w:val="2"/>
        </w:numPr>
        <w:spacing w:after="200"/>
      </w:pPr>
      <w:r>
        <w:rPr>
          <w:b/>
          <w:bCs/>
        </w:rPr>
        <w:t xml:space="preserve">Ethical AI Deployment: </w:t>
      </w:r>
      <w:r>
        <w:t xml:space="preserve">Balancing business objectives with fair lending requirements</w:t>
      </w:r>
    </w:p>
    <w:p>
      <w:pPr>
        <w:spacing w:after="200" w:line="360"/>
      </w:pPr>
      <w:r>
        <w:t xml:space="preserve">This exercise provides practical experience in operationalizing NIST AI RMF principles within a financial services environment, preparing me for expanded roles in AI governance and strategic IT planning aligned with my PhD research interests in data-driven decision-making and IT strategic planning.</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r>
      <w:t xml:space="preserve"> of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20"/>
        <w:szCs w:val="20"/>
      </w:rPr>
      <w:t xml:space="preserve">AI Risk Management Exercise - Resubmission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Times New Roman" w:cs="Times New Roman" w:eastAsia="Times New Roman" w:hAnsi="Times New Roman"/>
      <w:b/>
      <w:bCs/>
      <w:color w:val="000000"/>
      <w:sz w:val="32"/>
      <w:szCs w:val="32"/>
    </w:rPr>
  </w:style>
  <w:style w:type="paragraph" w:styleId="Heading1">
    <w:name w:val="Heading 1"/>
    <w:basedOn w:val="Normal"/>
    <w:next w:val="Normal"/>
    <w:qFormat/>
    <w:pPr>
      <w:spacing w:before="360" w:after="12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before="240" w:after="12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before="200" w:after="100"/>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2025-12-01T01:10:06.858Z</dcterms:created>
  <dcterms:modified xsi:type="dcterms:W3CDTF">2025-12-01T01:10:06.858Z</dcterms:modified>
</cp:coreProperties>
</file>

<file path=docProps/custom.xml><?xml version="1.0" encoding="utf-8"?>
<Properties xmlns="http://schemas.openxmlformats.org/officeDocument/2006/custom-properties" xmlns:vt="http://schemas.openxmlformats.org/officeDocument/2006/docPropsVTypes"/>
</file>