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84284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Strings and Queries</w:t>
      </w:r>
    </w:p>
    <w:p w14:paraId="4A4CA130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78D0831A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Your friend John is solving a puzzle which has some rules for solving it. He gets stuck at some point and asks you for help. The puzzle has a string S which consists of lowercase English alphabets and there are two types of string operations that you can perform -</w:t>
      </w:r>
    </w:p>
    <w:p w14:paraId="72428663" w14:textId="77777777" w:rsidR="00BC4905" w:rsidRPr="00BC4905" w:rsidRDefault="00BC4905" w:rsidP="00BC49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Delete a character from the string.</w:t>
      </w:r>
    </w:p>
    <w:p w14:paraId="7D2A6D3C" w14:textId="77777777" w:rsidR="00BC4905" w:rsidRPr="00BC4905" w:rsidRDefault="00BC4905" w:rsidP="00BC49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1095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Change a character to any other character in the string.</w:t>
      </w:r>
    </w:p>
    <w:p w14:paraId="5FAD9EF1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​​​</w:t>
      </w:r>
    </w:p>
    <w:p w14:paraId="22B75F0A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 are given P pairs, where each pair has two numbers L and R. A substring of string S can be formed from a pair, where L is the starting index and R is the last index. For each substring formed out of a pair, you need to find the minimum number of string operations required to convert it into a palindrome, by rearranging the characters of the modified substring.</w:t>
      </w:r>
    </w:p>
    <w:p w14:paraId="6FC5D427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368CDFD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Note: </w:t>
      </w: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Rearranging of characters is not considered as a string operation and string indexing starts from 1.</w:t>
      </w:r>
    </w:p>
    <w:p w14:paraId="36B31317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0EF02B55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Input Specification:</w:t>
      </w:r>
    </w:p>
    <w:p w14:paraId="2EBB046B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405D97BA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53A9C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input1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 string S</w:t>
            </w:r>
          </w:p>
          <w:p w14:paraId="78C66648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an integer denoting the length of the string</w:t>
            </w:r>
          </w:p>
          <w:p w14:paraId="6E4EE2C5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input3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 2D array of pairs</w:t>
            </w:r>
          </w:p>
          <w:p w14:paraId="635EA144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input4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an integer denoting the length of the 2D array</w:t>
            </w:r>
          </w:p>
        </w:tc>
      </w:tr>
    </w:tbl>
    <w:p w14:paraId="6192953B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4F73F065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Output Specification:</w:t>
      </w:r>
    </w:p>
    <w:p w14:paraId="2DDA251D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253EF87B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9BE2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An integer array consisting of the minimum number of operations required for each pair.</w:t>
            </w:r>
          </w:p>
        </w:tc>
      </w:tr>
    </w:tbl>
    <w:p w14:paraId="7BCF562E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5C2A1832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1:</w:t>
      </w:r>
    </w:p>
    <w:p w14:paraId="55EF2F2C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43493B03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1923C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lastRenderedPageBreak/>
              <w:t>input1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abadabcd</w:t>
            </w:r>
            <w:proofErr w:type="spellEnd"/>
          </w:p>
          <w:p w14:paraId="7583ED2C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8</w:t>
            </w:r>
          </w:p>
          <w:p w14:paraId="612EA7F8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input3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{{1,3</w:t>
            </w:r>
            <w:proofErr w:type="gramStart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},{</w:t>
            </w:r>
            <w:proofErr w:type="gramEnd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2,5}}</w:t>
            </w:r>
          </w:p>
          <w:p w14:paraId="55EEC004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input4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2</w:t>
            </w:r>
          </w:p>
        </w:tc>
      </w:tr>
    </w:tbl>
    <w:p w14:paraId="6B69A898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753318F2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5CC80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Output</w:t>
            </w:r>
            <w:proofErr w:type="gramStart"/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: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 {</w:t>
            </w:r>
            <w:proofErr w:type="gramEnd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0,1}</w:t>
            </w:r>
          </w:p>
        </w:tc>
      </w:tr>
    </w:tbl>
    <w:p w14:paraId="445102EF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72EA70F3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Explanation:</w:t>
      </w:r>
    </w:p>
    <w:p w14:paraId="26FC0A39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2E20EE92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pair is {1,3} and the corresponding substring will be “aba”. Since it is already a palindrome string, 0 string operations are required.</w:t>
      </w:r>
    </w:p>
    <w:p w14:paraId="406D23EA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3607AFC9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second pair is {2,5} and the corresponding substring is “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bada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”. We can change the character 'b' to 'd' so then the substring becomes “dada”. We can further rearrange its characters to form “adda”, which is a </w:t>
      </w:r>
      <w:proofErr w:type="spellStart"/>
      <w:proofErr w:type="gram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palindrome.Also</w:t>
      </w:r>
      <w:proofErr w:type="spellEnd"/>
      <w:proofErr w:type="gram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we could delete character 'b' from the string "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bada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so the resultant string would be "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ada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", which is a palindrome. So, 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atleast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1 string </w:t>
      </w:r>
      <w:proofErr w:type="gram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operation(</w:t>
      </w:r>
      <w:proofErr w:type="gram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either deleting 'b' or changing 'b' to 'd') is required to convert "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bada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into a palindrome.</w:t>
      </w:r>
    </w:p>
    <w:p w14:paraId="5FEF7B73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15FC4EC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000000"/>
          <w:lang w:eastAsia="en-IN"/>
        </w:rPr>
        <w:t>Hence {0,1} will be returned as the answer.</w:t>
      </w:r>
    </w:p>
    <w:p w14:paraId="5212328D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1F2A3A7F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Example 2:</w:t>
      </w:r>
    </w:p>
    <w:p w14:paraId="3212CEF6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3CAA4FAB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8F62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input1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 xml:space="preserve">: </w:t>
            </w:r>
            <w:proofErr w:type="spellStart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pmpkk</w:t>
            </w:r>
            <w:proofErr w:type="spellEnd"/>
          </w:p>
          <w:p w14:paraId="427B582D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input2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5</w:t>
            </w:r>
          </w:p>
          <w:p w14:paraId="10F28B52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input3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{{1,2</w:t>
            </w:r>
            <w:proofErr w:type="gramStart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},{</w:t>
            </w:r>
            <w:proofErr w:type="gramEnd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3,5},{4,4}}</w:t>
            </w:r>
          </w:p>
          <w:p w14:paraId="43D77B84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input4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: 3</w:t>
            </w:r>
          </w:p>
        </w:tc>
      </w:tr>
    </w:tbl>
    <w:p w14:paraId="6CBF2F5B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tbl>
      <w:tblPr>
        <w:tblW w:w="7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BC4905" w:rsidRPr="00BC4905" w14:paraId="7E77B4AB" w14:textId="77777777" w:rsidTr="00BC4905">
        <w:tc>
          <w:tcPr>
            <w:tcW w:w="7695" w:type="dxa"/>
            <w:tcBorders>
              <w:top w:val="single" w:sz="2" w:space="0" w:color="DDDDDD"/>
              <w:left w:val="nil"/>
              <w:bottom w:val="nil"/>
              <w:right w:val="nil"/>
            </w:tcBorders>
            <w:shd w:val="clear" w:color="auto" w:fill="F4F6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8A6E6" w14:textId="77777777" w:rsidR="00BC4905" w:rsidRPr="00BC4905" w:rsidRDefault="00BC4905" w:rsidP="00BC4905">
            <w:pPr>
              <w:spacing w:after="180" w:line="360" w:lineRule="atLeast"/>
              <w:rPr>
                <w:rFonts w:ascii="Open Sans" w:eastAsia="Times New Roman" w:hAnsi="Open Sans" w:cs="Open Sans"/>
                <w:color w:val="333333"/>
                <w:sz w:val="21"/>
                <w:szCs w:val="21"/>
                <w:lang w:eastAsia="en-IN"/>
              </w:rPr>
            </w:pPr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Output</w:t>
            </w:r>
            <w:proofErr w:type="gramStart"/>
            <w:r w:rsidRPr="00BC49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n-IN"/>
              </w:rPr>
              <w:t>:</w:t>
            </w:r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  {</w:t>
            </w:r>
            <w:proofErr w:type="gramEnd"/>
            <w:r w:rsidRPr="00BC4905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1,0,0}</w:t>
            </w:r>
          </w:p>
        </w:tc>
      </w:tr>
    </w:tbl>
    <w:p w14:paraId="515B12B5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2DE99D12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lastRenderedPageBreak/>
        <w:t>Explanation:</w:t>
      </w:r>
    </w:p>
    <w:p w14:paraId="763B83EB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6440BA0B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first pair is {1,2} and the corresponding substring is “pm”. We can delete the character ‘p’ and then the substring will be “m” which is a palindrome, so 1 string operation is required.</w:t>
      </w:r>
    </w:p>
    <w:p w14:paraId="222E1296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C8BCF1F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second pair is {3,5} and the corresponding substring is “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pkk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”. We can rearrange its characters to form “</w:t>
      </w:r>
      <w:proofErr w:type="spellStart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kpk</w:t>
      </w:r>
      <w:proofErr w:type="spellEnd"/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”, which is a palindrome. So, 0 string operations are required.</w:t>
      </w:r>
    </w:p>
    <w:p w14:paraId="7A95AECD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B5FE6CE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third pair is {4,4} and the corresponding palindrome is “k”, which already is a palindrome. So, 0 string operations are required.</w:t>
      </w:r>
    </w:p>
    <w:p w14:paraId="09266241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  <w:t> </w:t>
      </w:r>
    </w:p>
    <w:p w14:paraId="2093FCEE" w14:textId="77777777" w:rsidR="00BC4905" w:rsidRPr="00BC4905" w:rsidRDefault="00BC4905" w:rsidP="00BC4905">
      <w:pPr>
        <w:shd w:val="clear" w:color="auto" w:fill="FFFFFF"/>
        <w:spacing w:after="18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IN"/>
        </w:rPr>
      </w:pPr>
      <w:r w:rsidRPr="00BC490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Hence {1,0,0} will be returned as the answer.</w:t>
      </w:r>
    </w:p>
    <w:p w14:paraId="34424A51" w14:textId="77777777" w:rsidR="00A95DCF" w:rsidRPr="00BC4905" w:rsidRDefault="00BC4905" w:rsidP="00BC4905"/>
    <w:sectPr w:rsidR="00A95DCF" w:rsidRPr="00BC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91C74"/>
    <w:multiLevelType w:val="multilevel"/>
    <w:tmpl w:val="A75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23A7A"/>
    <w:multiLevelType w:val="multilevel"/>
    <w:tmpl w:val="1512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E09D0"/>
    <w:multiLevelType w:val="multilevel"/>
    <w:tmpl w:val="30D2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B5"/>
    <w:rsid w:val="000733F9"/>
    <w:rsid w:val="0038293B"/>
    <w:rsid w:val="00B52F55"/>
    <w:rsid w:val="00BC4905"/>
    <w:rsid w:val="00E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69C"/>
  <w15:chartTrackingRefBased/>
  <w15:docId w15:val="{CF8CD809-08D7-4F77-85A7-AA888D5F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5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59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9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8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0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5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1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87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64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2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2</cp:revision>
  <dcterms:created xsi:type="dcterms:W3CDTF">2022-05-07T14:35:00Z</dcterms:created>
  <dcterms:modified xsi:type="dcterms:W3CDTF">2022-05-07T14:35:00Z</dcterms:modified>
</cp:coreProperties>
</file>