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32"/>
          <w:szCs w:val="32"/>
        </w:rPr>
        <w:t xml:space="preserve">Étude socio-économique et environnementale de la valorisation des déchets plastiques en pavés préfabriqués</w:t>
      </w:r>
    </w:p>
    <w:p>
      <w:pPr>
        <w:spacing w:after="60"/>
      </w:pPr>
      <w:r>
        <w:rPr>
          <w:i/>
          <w:iCs/>
          <w:color w:val="2E75B6"/>
          <w:sz w:val="22"/>
          <w:szCs w:val="22"/>
        </w:rPr>
        <w:t xml:space="preserve">Ville de Cotonou, Bénin</w:t>
      </w:r>
    </w:p>
    <w:p>
      <w:pPr>
        <w:spacing w:after="300"/>
      </w:pPr>
      <w:r>
        <w:rPr>
          <w:color w:val="595959"/>
          <w:sz w:val="19"/>
          <w:szCs w:val="19"/>
        </w:rPr>
        <w:t xml:space="preserve">Joël AGBANLIN — Portfolio professionnel MEAL / Planification &amp; Coordination</w:t>
      </w:r>
    </w:p>
    <w:tbl>
      <w:tblPr>
        <w:tblW w:type="pct" w:w="100%"/>
        <w:tblBorders>
          <w:top w:val="single" w:color="D9B95C" w:sz="4"/>
          <w:left w:val="single" w:color="D9B95C" w:sz="4"/>
          <w:bottom w:val="single" w:color="D9B95C" w:sz="4"/>
          <w:right w:val="single" w:color="D9B95C" w:sz="4"/>
          <w:insideH w:val="none"/>
          <w:insideV w:val="none"/>
        </w:tblBorders>
      </w:tblPr>
      <w:tblGrid>
        <w:gridCol w:w="100"/>
      </w:tblGrid>
      <w:tr>
        <w:tc>
          <w:tcPr>
            <w:shd w:fill="FFF7DE" w:val="clear"/>
            <w:tcMar>
              <w:top w:type="dxa" w:w="160"/>
              <w:left w:type="dxa" w:w="200"/>
              <w:bottom w:type="dxa" w:w="160"/>
              <w:right w:type="dxa" w:w="200"/>
            </w:tcMar>
          </w:tcPr>
          <w:p>
            <w:pPr>
              <w:spacing w:line="260"/>
            </w:pPr>
            <w:r>
              <w:rPr>
                <w:i/>
                <w:iCs/>
                <w:color w:val="6B5A1E"/>
                <w:sz w:val="19"/>
                <w:szCs w:val="19"/>
              </w:rPr>
              <w:t xml:space="preserve">Statut de cette étude : ce document reconstitue, à des fins de démonstration de compétences professionnelles, la méthodologie d'une étude socio-économique et environnementale réellement menée dans le cadre d'un mémoire de Licence en Économie Appliquée (FASEG-UAC, 2016), avec l'appui de CISE SARL. Les données individuelles présentées sont simulées (les données brutes originales n'ont pas été conservées) ; la structure de l'enquête, les indicateurs et la méthodologie reflètent en revanche la démarche réellement appliquée.</w:t>
            </w:r>
          </w:p>
        </w:tc>
      </w:tr>
    </w:tbl>
    <w:p>
      <w:pPr>
        <w:pStyle w:val="Heading1"/>
        <w:spacing w:after="160" w:before="360"/>
      </w:pPr>
      <w:r>
        <w:rPr>
          <w:b/>
          <w:bCs/>
          <w:color w:val="1F4E5F"/>
          <w:sz w:val="26"/>
          <w:szCs w:val="26"/>
        </w:rPr>
        <w:t xml:space="preserve">1. Contexte et objectifs</w:t>
      </w:r>
    </w:p>
    <w:p>
      <w:pPr>
        <w:spacing w:after="160" w:line="276"/>
      </w:pPr>
      <w:r>
        <w:rPr>
          <w:sz w:val="21"/>
          <w:szCs w:val="21"/>
        </w:rPr>
        <w:t xml:space="preserve">La gestion des déchets plastiques constitue un défi environnemental majeur pour les villes d'Afrique de l'Ouest, notamment à Cotonou où l'accumulation de plastique dans les caniveaux contribue aux inondations urbaines récurrentes. La valorisation de ces déchets en pavés préfabriqués représente une opportunité d'économie circulaire à la fois environnementale et socio-économique.</w:t>
      </w:r>
    </w:p>
    <w:p>
      <w:pPr>
        <w:spacing w:after="160" w:line="276"/>
      </w:pPr>
      <w:r>
        <w:rPr>
          <w:sz w:val="21"/>
          <w:szCs w:val="21"/>
        </w:rPr>
        <w:t xml:space="preserve">Cette étude visait à évaluer, à travers une approche à la fois quantitative et qualitative, le potentiel de cette filière selon quatre axes complémentaires :</w:t>
      </w:r>
    </w:p>
    <w:p>
      <w:pPr>
        <w:pStyle w:val="ListParagraph"/>
        <w:numPr>
          <w:ilvl w:val="0"/>
          <w:numId w:val="1"/>
        </w:numPr>
        <w:spacing w:after="80" w:line="276"/>
      </w:pPr>
      <w:r>
        <w:rPr>
          <w:sz w:val="21"/>
          <w:szCs w:val="21"/>
        </w:rPr>
        <w:t xml:space="preserve">L'emploi généré le long de la chaîne de valeur (collecte, tri, transformation)</w:t>
      </w:r>
    </w:p>
    <w:p>
      <w:pPr>
        <w:pStyle w:val="ListParagraph"/>
        <w:numPr>
          <w:ilvl w:val="0"/>
          <w:numId w:val="1"/>
        </w:numPr>
        <w:spacing w:after="80" w:line="276"/>
      </w:pPr>
      <w:r>
        <w:rPr>
          <w:sz w:val="21"/>
          <w:szCs w:val="21"/>
        </w:rPr>
        <w:t xml:space="preserve">Les revenus potentiels pour les acteurs impliqués</w:t>
      </w:r>
    </w:p>
    <w:p>
      <w:pPr>
        <w:pStyle w:val="ListParagraph"/>
        <w:numPr>
          <w:ilvl w:val="0"/>
          <w:numId w:val="1"/>
        </w:numPr>
        <w:spacing w:after="80" w:line="276"/>
      </w:pPr>
      <w:r>
        <w:rPr>
          <w:sz w:val="21"/>
          <w:szCs w:val="21"/>
        </w:rPr>
        <w:t xml:space="preserve">Les conditions de vie et l'acceptabilité sociale de la filière</w:t>
      </w:r>
    </w:p>
    <w:p>
      <w:pPr>
        <w:pStyle w:val="ListParagraph"/>
        <w:numPr>
          <w:ilvl w:val="0"/>
          <w:numId w:val="1"/>
        </w:numPr>
        <w:spacing w:after="80" w:line="276"/>
      </w:pPr>
      <w:r>
        <w:rPr>
          <w:sz w:val="21"/>
          <w:szCs w:val="21"/>
        </w:rPr>
        <w:t xml:space="preserve">La réduction de la pression environnementale liée aux déchets plastiques</w:t>
      </w:r>
    </w:p>
    <w:p>
      <w:pPr>
        <w:pStyle w:val="Heading1"/>
        <w:spacing w:after="160" w:before="360"/>
      </w:pPr>
      <w:r>
        <w:rPr>
          <w:b/>
          <w:bCs/>
          <w:color w:val="1F4E5F"/>
          <w:sz w:val="26"/>
          <w:szCs w:val="26"/>
        </w:rPr>
        <w:t xml:space="preserve">2. Méthodologie et limites</w:t>
      </w:r>
    </w:p>
    <w:p>
      <w:pPr>
        <w:pStyle w:val="Heading2"/>
        <w:spacing w:after="120" w:before="240"/>
      </w:pPr>
      <w:r>
        <w:rPr>
          <w:b/>
          <w:bCs/>
          <w:color w:val="2E75B6"/>
          <w:sz w:val="22"/>
          <w:szCs w:val="22"/>
        </w:rPr>
        <w:t xml:space="preserve">2.1 Volet ménages (demande et acceptabilité)</w:t>
      </w:r>
    </w:p>
    <w:p>
      <w:pPr>
        <w:spacing w:after="160" w:line="276"/>
      </w:pPr>
      <w:r>
        <w:rPr>
          <w:sz w:val="21"/>
          <w:szCs w:val="21"/>
        </w:rPr>
        <w:t xml:space="preserve">Une enquête quantitative a été menée auprès de 120 ménages répartis sur 3 quartiers de Cotonou (Akpakpa, Dantokpa, Fidjrossè), à raison de 40 ménages par quartier, complétée par des entretiens qualitatifs auprès de collecteurs informels et d'artisans.</w:t>
      </w:r>
    </w:p>
    <w:p>
      <w:pPr>
        <w:pStyle w:val="Heading2"/>
        <w:spacing w:after="120" w:before="240"/>
      </w:pPr>
      <w:r>
        <w:rPr>
          <w:b/>
          <w:bCs/>
          <w:color w:val="2E75B6"/>
          <w:sz w:val="22"/>
          <w:szCs w:val="22"/>
        </w:rPr>
        <w:t xml:space="preserve">2.2 Volet acteurs de la chaîne de valeur</w:t>
      </w:r>
    </w:p>
    <w:p>
      <w:pPr>
        <w:spacing w:after="160" w:line="276"/>
      </w:pPr>
      <w:r>
        <w:rPr>
          <w:sz w:val="21"/>
          <w:szCs w:val="21"/>
        </w:rPr>
        <w:t xml:space="preserve">Un second volet a porté sur 25 acteurs de la filière (15 collecteurs, 10 artisans), afin d'estimer le potentiel de création d'emplois et de revenus. Le revenu "potentiel" présenté dans ce rapport est un scénario projeté (gain estimé de 15 à 25% par rapport au revenu actuel en activité informelle), et non une mesure d'impact observée — la filière structurée n'existant pas encore à l'échelle.</w:t>
      </w:r>
    </w:p>
    <w:tbl>
      <w:tblPr>
        <w:tblW w:type="pct" w:w="100%"/>
        <w:tblBorders>
          <w:top w:val="single" w:color="D9B95C" w:sz="4"/>
          <w:left w:val="single" w:color="D9B95C" w:sz="4"/>
          <w:bottom w:val="single" w:color="D9B95C" w:sz="4"/>
          <w:right w:val="single" w:color="D9B95C" w:sz="4"/>
          <w:insideH w:val="none"/>
          <w:insideV w:val="none"/>
        </w:tblBorders>
      </w:tblPr>
      <w:tblGrid>
        <w:gridCol w:w="100"/>
      </w:tblGrid>
      <w:tr>
        <w:tc>
          <w:tcPr>
            <w:shd w:fill="FFF7DE" w:val="clear"/>
            <w:tcMar>
              <w:top w:type="dxa" w:w="160"/>
              <w:left w:type="dxa" w:w="200"/>
              <w:bottom w:type="dxa" w:w="160"/>
              <w:right w:type="dxa" w:w="200"/>
            </w:tcMar>
          </w:tcPr>
          <w:p>
            <w:pPr>
              <w:spacing w:line="260"/>
            </w:pPr>
            <w:r>
              <w:rPr>
                <w:i/>
                <w:iCs/>
                <w:color w:val="6B5A1E"/>
                <w:sz w:val="19"/>
                <w:szCs w:val="19"/>
              </w:rPr>
              <w:t xml:space="preserve">Limite méthodologique assumée : l'échantillonnage utilisé est un échantillonnage de convenance (non probabiliste), en raison des moyens limités d'une étude de mémoire de licence. Les résultats constituent des tendances indicatives locales, robustes à l'échelle des zones enquêtées, mais ne permettent pas une généralisation statistique à l'ensemble de la population de Cotonou.</w:t>
            </w:r>
          </w:p>
        </w:tc>
      </w:tr>
    </w:tbl>
    <w:p>
      <w:pPr>
        <w:pStyle w:val="Heading1"/>
        <w:spacing w:after="160" w:before="360"/>
      </w:pPr>
      <w:r>
        <w:rPr>
          <w:b/>
          <w:bCs/>
          <w:color w:val="1F4E5F"/>
          <w:sz w:val="26"/>
          <w:szCs w:val="26"/>
        </w:rPr>
        <w:t xml:space="preserve">3. Résultats — Acceptabilité de la filière auprès des ménages</w:t>
      </w:r>
    </w:p>
    <w:p>
      <w:pPr>
        <w:spacing w:after="160" w:line="276"/>
      </w:pPr>
      <w:r>
        <w:rPr>
          <w:sz w:val="21"/>
          <w:szCs w:val="21"/>
        </w:rPr>
        <w:t xml:space="preserve">Les indicateurs d'acceptabilité varient sensiblement selon les quartiers, avec des taux de tri et de connaissance de la filière plus élevés à Dantokpa, quartier à forte activité commerciale.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800"/>
        <w:gridCol w:w="1550"/>
        <w:gridCol w:w="1550"/>
        <w:gridCol w:w="1550"/>
        <w:gridCol w:w="1550"/>
      </w:tblGrid>
      <w:tr>
        <w:tc>
          <w:tcPr>
            <w:tcW w:type="dxa" w:w="3800"/>
            <w:shd w:fill="1F4E5F" w:val="clear"/>
            <w:tcMar>
              <w:top w:type="dxa" w:w="100"/>
              <w:left w:type="dxa" w:w="120"/>
              <w:bottom w:type="dxa" w:w="100"/>
              <w:right w:type="dxa" w:w="120"/>
            </w:tcMar>
          </w:tcPr>
          <w:p>
            <w:pPr>
              <w:jc w:val="left"/>
            </w:pPr>
            <w:r>
              <w:rPr>
                <w:b/>
                <w:bCs/>
                <w:color w:val="FFFFFF"/>
                <w:sz w:val="19"/>
                <w:szCs w:val="19"/>
              </w:rPr>
              <w:t xml:space="preserve">Indicateur</w:t>
            </w:r>
          </w:p>
        </w:tc>
        <w:tc>
          <w:tcPr>
            <w:tcW w:type="dxa" w:w="1550"/>
            <w:shd w:fill="1F4E5F" w:val="clear"/>
            <w:tcMar>
              <w:top w:type="dxa" w:w="100"/>
              <w:left w:type="dxa" w:w="120"/>
              <w:bottom w:type="dxa" w:w="100"/>
              <w:right w:type="dxa" w:w="120"/>
            </w:tcMar>
          </w:tcPr>
          <w:p>
            <w:pPr>
              <w:jc w:val="center"/>
            </w:pPr>
            <w:r>
              <w:rPr>
                <w:b/>
                <w:bCs/>
                <w:color w:val="FFFFFF"/>
                <w:sz w:val="19"/>
                <w:szCs w:val="19"/>
              </w:rPr>
              <w:t xml:space="preserve">Akpakpa</w:t>
            </w:r>
          </w:p>
        </w:tc>
        <w:tc>
          <w:tcPr>
            <w:tcW w:type="dxa" w:w="1550"/>
            <w:shd w:fill="1F4E5F" w:val="clear"/>
            <w:tcMar>
              <w:top w:type="dxa" w:w="100"/>
              <w:left w:type="dxa" w:w="120"/>
              <w:bottom w:type="dxa" w:w="100"/>
              <w:right w:type="dxa" w:w="120"/>
            </w:tcMar>
          </w:tcPr>
          <w:p>
            <w:pPr>
              <w:jc w:val="center"/>
            </w:pPr>
            <w:r>
              <w:rPr>
                <w:b/>
                <w:bCs/>
                <w:color w:val="FFFFFF"/>
                <w:sz w:val="19"/>
                <w:szCs w:val="19"/>
              </w:rPr>
              <w:t xml:space="preserve">Dantokpa</w:t>
            </w:r>
          </w:p>
        </w:tc>
        <w:tc>
          <w:tcPr>
            <w:tcW w:type="dxa" w:w="1550"/>
            <w:shd w:fill="1F4E5F" w:val="clear"/>
            <w:tcMar>
              <w:top w:type="dxa" w:w="100"/>
              <w:left w:type="dxa" w:w="120"/>
              <w:bottom w:type="dxa" w:w="100"/>
              <w:right w:type="dxa" w:w="120"/>
            </w:tcMar>
          </w:tcPr>
          <w:p>
            <w:pPr>
              <w:jc w:val="center"/>
            </w:pPr>
            <w:r>
              <w:rPr>
                <w:b/>
                <w:bCs/>
                <w:color w:val="FFFFFF"/>
                <w:sz w:val="19"/>
                <w:szCs w:val="19"/>
              </w:rPr>
              <w:t xml:space="preserve">Fidjrossè</w:t>
            </w:r>
          </w:p>
        </w:tc>
        <w:tc>
          <w:tcPr>
            <w:tcW w:type="dxa" w:w="1550"/>
            <w:shd w:fill="1F4E5F" w:val="clear"/>
            <w:tcMar>
              <w:top w:type="dxa" w:w="100"/>
              <w:left w:type="dxa" w:w="120"/>
              <w:bottom w:type="dxa" w:w="100"/>
              <w:right w:type="dxa" w:w="120"/>
            </w:tcMar>
          </w:tcPr>
          <w:p>
            <w:pPr>
              <w:jc w:val="center"/>
            </w:pPr>
            <w:r>
              <w:rPr>
                <w:b/>
                <w:bCs/>
                <w:color w:val="FFFFFF"/>
                <w:sz w:val="19"/>
                <w:szCs w:val="19"/>
              </w:rPr>
              <w:t xml:space="preserve">Ensemble</w:t>
            </w:r>
          </w:p>
        </w:tc>
      </w:tr>
      <w:tr>
        <w:tc>
          <w:tcPr>
            <w:tcW w:type="dxa" w:w="3800"/>
            <w:shd w:fill="F2F2F2" w:val="clear"/>
            <w:tcMar>
              <w:top w:type="dxa" w:w="100"/>
              <w:left w:type="dxa" w:w="120"/>
              <w:bottom w:type="dxa" w:w="100"/>
              <w:right w:type="dxa" w:w="120"/>
            </w:tcMar>
          </w:tcPr>
          <w:p>
            <w:pPr>
              <w:jc w:val="left"/>
            </w:pPr>
            <w:r>
              <w:rPr>
                <w:b w:val="false"/>
                <w:bCs w:val="false"/>
                <w:color w:val="000000"/>
                <w:sz w:val="19"/>
                <w:szCs w:val="19"/>
              </w:rPr>
              <w:t xml:space="preserve">Taux de tri à la source</w:t>
            </w:r>
          </w:p>
        </w:tc>
        <w:tc>
          <w:tcPr>
            <w:tcW w:type="dxa" w:w="1550"/>
            <w:tcMar>
              <w:top w:type="dxa" w:w="100"/>
              <w:left w:type="dxa" w:w="120"/>
              <w:bottom w:type="dxa" w:w="100"/>
              <w:right w:type="dxa" w:w="120"/>
            </w:tcMar>
          </w:tcPr>
          <w:p>
            <w:pPr>
              <w:jc w:val="center"/>
            </w:pPr>
            <w:r>
              <w:rPr>
                <w:b w:val="false"/>
                <w:bCs w:val="false"/>
                <w:color w:val="000000"/>
                <w:sz w:val="19"/>
                <w:szCs w:val="19"/>
              </w:rPr>
              <w:t xml:space="preserve">27,5%</w:t>
            </w:r>
          </w:p>
        </w:tc>
        <w:tc>
          <w:tcPr>
            <w:tcW w:type="dxa" w:w="1550"/>
            <w:tcMar>
              <w:top w:type="dxa" w:w="100"/>
              <w:left w:type="dxa" w:w="120"/>
              <w:bottom w:type="dxa" w:w="100"/>
              <w:right w:type="dxa" w:w="120"/>
            </w:tcMar>
          </w:tcPr>
          <w:p>
            <w:pPr>
              <w:jc w:val="center"/>
            </w:pPr>
            <w:r>
              <w:rPr>
                <w:b w:val="false"/>
                <w:bCs w:val="false"/>
                <w:color w:val="000000"/>
                <w:sz w:val="19"/>
                <w:szCs w:val="19"/>
              </w:rPr>
              <w:t xml:space="preserve">47,5%</w:t>
            </w:r>
          </w:p>
        </w:tc>
        <w:tc>
          <w:tcPr>
            <w:tcW w:type="dxa" w:w="1550"/>
            <w:tcMar>
              <w:top w:type="dxa" w:w="100"/>
              <w:left w:type="dxa" w:w="120"/>
              <w:bottom w:type="dxa" w:w="100"/>
              <w:right w:type="dxa" w:w="120"/>
            </w:tcMar>
          </w:tcPr>
          <w:p>
            <w:pPr>
              <w:jc w:val="center"/>
            </w:pPr>
            <w:r>
              <w:rPr>
                <w:b w:val="false"/>
                <w:bCs w:val="false"/>
                <w:color w:val="000000"/>
                <w:sz w:val="19"/>
                <w:szCs w:val="19"/>
              </w:rPr>
              <w:t xml:space="preserve">50,0%</w:t>
            </w:r>
          </w:p>
        </w:tc>
        <w:tc>
          <w:tcPr>
            <w:tcW w:type="dxa" w:w="1550"/>
            <w:tcMar>
              <w:top w:type="dxa" w:w="100"/>
              <w:left w:type="dxa" w:w="120"/>
              <w:bottom w:type="dxa" w:w="100"/>
              <w:right w:type="dxa" w:w="120"/>
            </w:tcMar>
          </w:tcPr>
          <w:p>
            <w:pPr>
              <w:jc w:val="center"/>
            </w:pPr>
            <w:r>
              <w:rPr>
                <w:b w:val="false"/>
                <w:bCs w:val="false"/>
                <w:color w:val="000000"/>
                <w:sz w:val="19"/>
                <w:szCs w:val="19"/>
              </w:rPr>
              <w:t xml:space="preserve">41,7%</w:t>
            </w:r>
          </w:p>
        </w:tc>
      </w:tr>
      <w:tr>
        <w:tc>
          <w:tcPr>
            <w:tcW w:type="dxa" w:w="3800"/>
            <w:shd w:fill="F2F2F2" w:val="clear"/>
            <w:tcMar>
              <w:top w:type="dxa" w:w="100"/>
              <w:left w:type="dxa" w:w="120"/>
              <w:bottom w:type="dxa" w:w="100"/>
              <w:right w:type="dxa" w:w="120"/>
            </w:tcMar>
          </w:tcPr>
          <w:p>
            <w:pPr>
              <w:jc w:val="left"/>
            </w:pPr>
            <w:r>
              <w:rPr>
                <w:b w:val="false"/>
                <w:bCs w:val="false"/>
                <w:color w:val="000000"/>
                <w:sz w:val="19"/>
                <w:szCs w:val="19"/>
              </w:rPr>
              <w:t xml:space="preserve">Connaissance de la filière pavé</w:t>
            </w:r>
          </w:p>
        </w:tc>
        <w:tc>
          <w:tcPr>
            <w:tcW w:type="dxa" w:w="1550"/>
            <w:tcMar>
              <w:top w:type="dxa" w:w="100"/>
              <w:left w:type="dxa" w:w="120"/>
              <w:bottom w:type="dxa" w:w="100"/>
              <w:right w:type="dxa" w:w="120"/>
            </w:tcMar>
          </w:tcPr>
          <w:p>
            <w:pPr>
              <w:jc w:val="center"/>
            </w:pPr>
            <w:r>
              <w:rPr>
                <w:b w:val="false"/>
                <w:bCs w:val="false"/>
                <w:color w:val="000000"/>
                <w:sz w:val="19"/>
                <w:szCs w:val="19"/>
              </w:rPr>
              <w:t xml:space="preserve">25,0%</w:t>
            </w:r>
          </w:p>
        </w:tc>
        <w:tc>
          <w:tcPr>
            <w:tcW w:type="dxa" w:w="1550"/>
            <w:tcMar>
              <w:top w:type="dxa" w:w="100"/>
              <w:left w:type="dxa" w:w="120"/>
              <w:bottom w:type="dxa" w:w="100"/>
              <w:right w:type="dxa" w:w="120"/>
            </w:tcMar>
          </w:tcPr>
          <w:p>
            <w:pPr>
              <w:jc w:val="center"/>
            </w:pPr>
            <w:r>
              <w:rPr>
                <w:b w:val="false"/>
                <w:bCs w:val="false"/>
                <w:color w:val="000000"/>
                <w:sz w:val="19"/>
                <w:szCs w:val="19"/>
              </w:rPr>
              <w:t xml:space="preserve">45,0%</w:t>
            </w:r>
          </w:p>
        </w:tc>
        <w:tc>
          <w:tcPr>
            <w:tcW w:type="dxa" w:w="1550"/>
            <w:tcMar>
              <w:top w:type="dxa" w:w="100"/>
              <w:left w:type="dxa" w:w="120"/>
              <w:bottom w:type="dxa" w:w="100"/>
              <w:right w:type="dxa" w:w="120"/>
            </w:tcMar>
          </w:tcPr>
          <w:p>
            <w:pPr>
              <w:jc w:val="center"/>
            </w:pPr>
            <w:r>
              <w:rPr>
                <w:b w:val="false"/>
                <w:bCs w:val="false"/>
                <w:color w:val="000000"/>
                <w:sz w:val="19"/>
                <w:szCs w:val="19"/>
              </w:rPr>
              <w:t xml:space="preserve">27,5%</w:t>
            </w:r>
          </w:p>
        </w:tc>
        <w:tc>
          <w:tcPr>
            <w:tcW w:type="dxa" w:w="1550"/>
            <w:tcMar>
              <w:top w:type="dxa" w:w="100"/>
              <w:left w:type="dxa" w:w="120"/>
              <w:bottom w:type="dxa" w:w="100"/>
              <w:right w:type="dxa" w:w="120"/>
            </w:tcMar>
          </w:tcPr>
          <w:p>
            <w:pPr>
              <w:jc w:val="center"/>
            </w:pPr>
            <w:r>
              <w:rPr>
                <w:b w:val="false"/>
                <w:bCs w:val="false"/>
                <w:color w:val="000000"/>
                <w:sz w:val="19"/>
                <w:szCs w:val="19"/>
              </w:rPr>
              <w:t xml:space="preserve">32,5%</w:t>
            </w:r>
          </w:p>
        </w:tc>
      </w:tr>
      <w:tr>
        <w:tc>
          <w:tcPr>
            <w:tcW w:type="dxa" w:w="3800"/>
            <w:shd w:fill="F2F2F2" w:val="clear"/>
            <w:tcMar>
              <w:top w:type="dxa" w:w="100"/>
              <w:left w:type="dxa" w:w="120"/>
              <w:bottom w:type="dxa" w:w="100"/>
              <w:right w:type="dxa" w:w="120"/>
            </w:tcMar>
          </w:tcPr>
          <w:p>
            <w:pPr>
              <w:jc w:val="left"/>
            </w:pPr>
            <w:r>
              <w:rPr>
                <w:b w:val="false"/>
                <w:bCs w:val="false"/>
                <w:color w:val="000000"/>
                <w:sz w:val="19"/>
                <w:szCs w:val="19"/>
              </w:rPr>
              <w:t xml:space="preserve">Disposition à acheter un pavé recyclé</w:t>
            </w:r>
          </w:p>
        </w:tc>
        <w:tc>
          <w:tcPr>
            <w:tcW w:type="dxa" w:w="1550"/>
            <w:tcMar>
              <w:top w:type="dxa" w:w="100"/>
              <w:left w:type="dxa" w:w="120"/>
              <w:bottom w:type="dxa" w:w="100"/>
              <w:right w:type="dxa" w:w="120"/>
            </w:tcMar>
          </w:tcPr>
          <w:p>
            <w:pPr>
              <w:jc w:val="center"/>
            </w:pPr>
            <w:r>
              <w:rPr>
                <w:b w:val="false"/>
                <w:bCs w:val="false"/>
                <w:color w:val="000000"/>
                <w:sz w:val="19"/>
                <w:szCs w:val="19"/>
              </w:rPr>
              <w:t xml:space="preserve">45,0%</w:t>
            </w:r>
          </w:p>
        </w:tc>
        <w:tc>
          <w:tcPr>
            <w:tcW w:type="dxa" w:w="1550"/>
            <w:tcMar>
              <w:top w:type="dxa" w:w="100"/>
              <w:left w:type="dxa" w:w="120"/>
              <w:bottom w:type="dxa" w:w="100"/>
              <w:right w:type="dxa" w:w="120"/>
            </w:tcMar>
          </w:tcPr>
          <w:p>
            <w:pPr>
              <w:jc w:val="center"/>
            </w:pPr>
            <w:r>
              <w:rPr>
                <w:b w:val="false"/>
                <w:bCs w:val="false"/>
                <w:color w:val="000000"/>
                <w:sz w:val="19"/>
                <w:szCs w:val="19"/>
              </w:rPr>
              <w:t xml:space="preserve">55,0%</w:t>
            </w:r>
          </w:p>
        </w:tc>
        <w:tc>
          <w:tcPr>
            <w:tcW w:type="dxa" w:w="1550"/>
            <w:tcMar>
              <w:top w:type="dxa" w:w="100"/>
              <w:left w:type="dxa" w:w="120"/>
              <w:bottom w:type="dxa" w:w="100"/>
              <w:right w:type="dxa" w:w="120"/>
            </w:tcMar>
          </w:tcPr>
          <w:p>
            <w:pPr>
              <w:jc w:val="center"/>
            </w:pPr>
            <w:r>
              <w:rPr>
                <w:b w:val="false"/>
                <w:bCs w:val="false"/>
                <w:color w:val="000000"/>
                <w:sz w:val="19"/>
                <w:szCs w:val="19"/>
              </w:rPr>
              <w:t xml:space="preserve">42,5%</w:t>
            </w:r>
          </w:p>
        </w:tc>
        <w:tc>
          <w:tcPr>
            <w:tcW w:type="dxa" w:w="1550"/>
            <w:tcMar>
              <w:top w:type="dxa" w:w="100"/>
              <w:left w:type="dxa" w:w="120"/>
              <w:bottom w:type="dxa" w:w="100"/>
              <w:right w:type="dxa" w:w="120"/>
            </w:tcMar>
          </w:tcPr>
          <w:p>
            <w:pPr>
              <w:jc w:val="center"/>
            </w:pPr>
            <w:r>
              <w:rPr>
                <w:b w:val="false"/>
                <w:bCs w:val="false"/>
                <w:color w:val="000000"/>
                <w:sz w:val="19"/>
                <w:szCs w:val="19"/>
              </w:rPr>
              <w:t xml:space="preserve">47,5%</w:t>
            </w:r>
          </w:p>
        </w:tc>
      </w:tr>
    </w:tbl>
    <w:p>
      <w:pPr>
        <w:spacing w:before="200"/>
      </w:pPr>
    </w:p>
    <w:p>
      <w:pPr>
        <w:jc w:val="center"/>
      </w:pPr>
      <w:r>
        <w:drawing>
          <wp:inline distT="0" distB="0" distL="0" distR="0">
            <wp:extent cx="43815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647950"/>
                    </a:xfrm>
                    <a:prstGeom prst="rect">
                      <a:avLst/>
                    </a:prstGeom>
                  </pic:spPr>
                </pic:pic>
              </a:graphicData>
            </a:graphic>
          </wp:inline>
        </w:drawing>
      </w:r>
    </w:p>
    <w:p>
      <w:pPr>
        <w:pStyle w:val="Heading1"/>
        <w:spacing w:after="160" w:before="360"/>
      </w:pPr>
      <w:r>
        <w:rPr>
          <w:b/>
          <w:bCs/>
          <w:color w:val="1F4E5F"/>
          <w:sz w:val="26"/>
          <w:szCs w:val="26"/>
        </w:rPr>
        <w:t xml:space="preserve">4. Déterminants de l'acceptabilité — Modèle économétrique</w:t>
      </w:r>
    </w:p>
    <w:p>
      <w:pPr>
        <w:spacing w:after="160" w:line="276"/>
      </w:pPr>
      <w:r>
        <w:rPr>
          <w:sz w:val="21"/>
          <w:szCs w:val="21"/>
        </w:rPr>
        <w:t xml:space="preserve">Afin d'identifier les facteurs associés à la disposition d'achat d'un pavé recyclé, un modèle de régression logistique a été estimé (variable dépendante binaire), avec comme variables explicatives le quartier, la taille du ménage, le revenu, la connaissance de la filière et la pratique du tri à la source.</w:t>
      </w:r>
    </w:p>
    <w:p>
      <w:pPr>
        <w:spacing w:after="160" w:line="276"/>
      </w:pPr>
      <w:r>
        <w:rPr>
          <w:i/>
          <w:iCs/>
          <w:color w:val="595959"/>
          <w:sz w:val="19"/>
          <w:szCs w:val="19"/>
        </w:rPr>
        <w:t xml:space="preserve">Statistiques du modèle : LR chi²(6) = 26,08 (p = 0,0002) ; Pseudo R² = 0,157.</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2200"/>
        <w:gridCol w:w="2200"/>
      </w:tblGrid>
      <w:tr>
        <w:tc>
          <w:tcPr>
            <w:tcW w:type="dxa" w:w="3400"/>
            <w:shd w:fill="1F4E5F" w:val="clear"/>
            <w:tcMar>
              <w:top w:type="dxa" w:w="100"/>
              <w:left w:type="dxa" w:w="120"/>
              <w:bottom w:type="dxa" w:w="100"/>
              <w:right w:type="dxa" w:w="120"/>
            </w:tcMar>
          </w:tcPr>
          <w:p>
            <w:pPr>
              <w:jc w:val="left"/>
            </w:pPr>
            <w:r>
              <w:rPr>
                <w:b/>
                <w:bCs/>
                <w:color w:val="FFFFFF"/>
                <w:sz w:val="19"/>
                <w:szCs w:val="19"/>
              </w:rPr>
              <w:t xml:space="preserve">Variable</w:t>
            </w:r>
          </w:p>
        </w:tc>
        <w:tc>
          <w:tcPr>
            <w:tcW w:type="dxa" w:w="2200"/>
            <w:shd w:fill="1F4E5F" w:val="clear"/>
            <w:tcMar>
              <w:top w:type="dxa" w:w="100"/>
              <w:left w:type="dxa" w:w="120"/>
              <w:bottom w:type="dxa" w:w="100"/>
              <w:right w:type="dxa" w:w="120"/>
            </w:tcMar>
          </w:tcPr>
          <w:p>
            <w:pPr>
              <w:jc w:val="center"/>
            </w:pPr>
            <w:r>
              <w:rPr>
                <w:b/>
                <w:bCs/>
                <w:color w:val="FFFFFF"/>
                <w:sz w:val="19"/>
                <w:szCs w:val="19"/>
              </w:rPr>
              <w:t xml:space="preserve">Coef.</w:t>
            </w:r>
          </w:p>
        </w:tc>
        <w:tc>
          <w:tcPr>
            <w:tcW w:type="dxa" w:w="2200"/>
            <w:shd w:fill="1F4E5F" w:val="clear"/>
            <w:tcMar>
              <w:top w:type="dxa" w:w="100"/>
              <w:left w:type="dxa" w:w="120"/>
              <w:bottom w:type="dxa" w:w="100"/>
              <w:right w:type="dxa" w:w="120"/>
            </w:tcMar>
          </w:tcPr>
          <w:p>
            <w:pPr>
              <w:jc w:val="center"/>
            </w:pPr>
            <w:r>
              <w:rPr>
                <w:b/>
                <w:bCs/>
                <w:color w:val="FFFFFF"/>
                <w:sz w:val="19"/>
                <w:szCs w:val="19"/>
              </w:rPr>
              <w:t xml:space="preserve">Odds Ratio</w:t>
            </w:r>
          </w:p>
        </w:tc>
        <w:tc>
          <w:tcPr>
            <w:tcW w:type="dxa" w:w="2200"/>
            <w:shd w:fill="1F4E5F" w:val="clear"/>
            <w:tcMar>
              <w:top w:type="dxa" w:w="100"/>
              <w:left w:type="dxa" w:w="120"/>
              <w:bottom w:type="dxa" w:w="100"/>
              <w:right w:type="dxa" w:w="120"/>
            </w:tcMar>
          </w:tcPr>
          <w:p>
            <w:pPr>
              <w:jc w:val="center"/>
            </w:pPr>
            <w:r>
              <w:rPr>
                <w:b/>
                <w:bCs/>
                <w:color w:val="FFFFFF"/>
                <w:sz w:val="19"/>
                <w:szCs w:val="19"/>
              </w:rPr>
              <w:t xml:space="preserve">p</w:t>
            </w:r>
          </w:p>
        </w:tc>
      </w:tr>
      <w:tr>
        <w:tc>
          <w:tcPr>
            <w:tcW w:type="dxa" w:w="3400"/>
            <w:tcMar>
              <w:top w:type="dxa" w:w="100"/>
              <w:left w:type="dxa" w:w="120"/>
              <w:bottom w:type="dxa" w:w="100"/>
              <w:right w:type="dxa" w:w="120"/>
            </w:tcMar>
          </w:tcPr>
          <w:p>
            <w:pPr>
              <w:jc w:val="left"/>
            </w:pPr>
            <w:r>
              <w:rPr>
                <w:b/>
                <w:bCs/>
                <w:color w:val="000000"/>
                <w:sz w:val="19"/>
                <w:szCs w:val="19"/>
              </w:rPr>
              <w:t xml:space="preserve">Quartier (Dantokpa)</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0,017</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1,02</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0,974</w:t>
            </w:r>
          </w:p>
        </w:tc>
      </w:tr>
      <w:tr>
        <w:tc>
          <w:tcPr>
            <w:tcW w:type="dxa" w:w="3400"/>
            <w:tcMar>
              <w:top w:type="dxa" w:w="100"/>
              <w:left w:type="dxa" w:w="120"/>
              <w:bottom w:type="dxa" w:w="100"/>
              <w:right w:type="dxa" w:w="120"/>
            </w:tcMar>
          </w:tcPr>
          <w:p>
            <w:pPr>
              <w:jc w:val="left"/>
            </w:pPr>
            <w:r>
              <w:rPr>
                <w:b/>
                <w:bCs/>
                <w:color w:val="000000"/>
                <w:sz w:val="19"/>
                <w:szCs w:val="19"/>
              </w:rPr>
              <w:t xml:space="preserve">Quartier (Fidjrossè)</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-0,210</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0,81</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0,683</w:t>
            </w:r>
          </w:p>
        </w:tc>
      </w:tr>
      <w:tr>
        <w:tc>
          <w:tcPr>
            <w:tcW w:type="dxa" w:w="3400"/>
            <w:tcMar>
              <w:top w:type="dxa" w:w="100"/>
              <w:left w:type="dxa" w:w="120"/>
              <w:bottom w:type="dxa" w:w="100"/>
              <w:right w:type="dxa" w:w="120"/>
            </w:tcMar>
          </w:tcPr>
          <w:p>
            <w:pPr>
              <w:jc w:val="left"/>
            </w:pPr>
            <w:r>
              <w:rPr>
                <w:b/>
                <w:bCs/>
                <w:color w:val="000000"/>
                <w:sz w:val="19"/>
                <w:szCs w:val="19"/>
              </w:rPr>
              <w:t xml:space="preserve">Taille du ménage</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-0,010</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0,99</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0,932</w:t>
            </w:r>
          </w:p>
        </w:tc>
      </w:tr>
      <w:tr>
        <w:tc>
          <w:tcPr>
            <w:tcW w:type="dxa" w:w="3400"/>
            <w:tcMar>
              <w:top w:type="dxa" w:w="100"/>
              <w:left w:type="dxa" w:w="120"/>
              <w:bottom w:type="dxa" w:w="100"/>
              <w:right w:type="dxa" w:w="120"/>
            </w:tcMar>
          </w:tcPr>
          <w:p>
            <w:pPr>
              <w:jc w:val="left"/>
            </w:pPr>
            <w:r>
              <w:rPr>
                <w:b/>
                <w:bCs/>
                <w:color w:val="000000"/>
                <w:sz w:val="19"/>
                <w:szCs w:val="19"/>
              </w:rPr>
              <w:t xml:space="preserve">Revenu (milliers FCFA)</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0,004</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1,00</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0,407</w:t>
            </w:r>
          </w:p>
        </w:tc>
      </w:tr>
      <w:tr>
        <w:tc>
          <w:tcPr>
            <w:tcW w:type="dxa" w:w="3400"/>
            <w:tcMar>
              <w:top w:type="dxa" w:w="100"/>
              <w:left w:type="dxa" w:w="120"/>
              <w:bottom w:type="dxa" w:w="100"/>
              <w:right w:type="dxa" w:w="120"/>
            </w:tcMar>
          </w:tcPr>
          <w:p>
            <w:pPr>
              <w:jc w:val="left"/>
            </w:pPr>
            <w:r>
              <w:rPr>
                <w:b/>
                <w:bCs/>
                <w:color w:val="000000"/>
                <w:sz w:val="19"/>
                <w:szCs w:val="19"/>
              </w:rPr>
              <w:t xml:space="preserve">Connaît la filière</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2,091</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8,09</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&lt; 0,001 ***</w:t>
            </w:r>
          </w:p>
        </w:tc>
      </w:tr>
      <w:tr>
        <w:tc>
          <w:tcPr>
            <w:tcW w:type="dxa" w:w="3400"/>
            <w:tcMar>
              <w:top w:type="dxa" w:w="100"/>
              <w:left w:type="dxa" w:w="120"/>
              <w:bottom w:type="dxa" w:w="100"/>
              <w:right w:type="dxa" w:w="120"/>
            </w:tcMar>
          </w:tcPr>
          <w:p>
            <w:pPr>
              <w:jc w:val="left"/>
            </w:pPr>
            <w:r>
              <w:rPr>
                <w:b/>
                <w:bCs/>
                <w:color w:val="000000"/>
                <w:sz w:val="19"/>
                <w:szCs w:val="19"/>
              </w:rPr>
              <w:t xml:space="preserve">Pratique le tri</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0,172</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1,19</w:t>
            </w:r>
          </w:p>
        </w:tc>
        <w:tc>
          <w:tcPr>
            <w:tcW w:type="dxa" w:w="2200"/>
            <w:tcMar>
              <w:top w:type="dxa" w:w="100"/>
              <w:left w:type="dxa" w:w="120"/>
              <w:bottom w:type="dxa" w:w="100"/>
              <w:right w:type="dxa" w:w="120"/>
            </w:tcMar>
          </w:tcPr>
          <w:p>
            <w:pPr>
              <w:jc w:val="center"/>
            </w:pPr>
            <w:r>
              <w:rPr>
                <w:b w:val="false"/>
                <w:bCs w:val="false"/>
                <w:color w:val="000000"/>
                <w:sz w:val="19"/>
                <w:szCs w:val="19"/>
              </w:rPr>
              <w:t xml:space="preserve">0,695</w:t>
            </w:r>
          </w:p>
        </w:tc>
      </w:tr>
    </w:tbl>
    <w:p>
      <w:pPr>
        <w:spacing w:before="200"/>
      </w:pPr>
    </w:p>
    <w:p>
      <w:pPr>
        <w:spacing w:after="160" w:line="276"/>
      </w:pPr>
      <w:r>
        <w:rPr>
          <w:sz w:val="21"/>
          <w:szCs w:val="21"/>
        </w:rPr>
        <w:t xml:space="preserve">Seule la connaissance de la filière ressort comme déterminant statistiquement significatif (p &lt; 0,001) : toutes choses égales par ailleurs, un ménage informé de l'existence de la filière a environ 8 fois plus de chances de se déclarer disposé à acheter un pavé recyclé. Ni le quartier, ni la taille du ménage, ni le revenu n'ont d'effet significatif une fois ce facteur pris en compte.</w:t>
      </w:r>
    </w:p>
    <w:p>
      <w:pPr>
        <w:spacing w:after="160" w:line="276"/>
      </w:pPr>
      <w:r>
        <w:rPr>
          <w:b/>
          <w:bCs/>
          <w:sz w:val="21"/>
          <w:szCs w:val="21"/>
        </w:rPr>
        <w:t xml:space="preserve">Implication opérationnelle : l'obstacle principal à l'adoption de la filière apparaît informationnel plutôt qu'économique — une stratégie de sensibilisation et de communication serait probablement plus efficace qu'une incitation financière pour développer la demande.</w:t>
      </w:r>
    </w:p>
    <w:p>
      <w:pPr>
        <w:pStyle w:val="Heading1"/>
        <w:spacing w:after="160" w:before="360"/>
      </w:pPr>
      <w:r>
        <w:rPr>
          <w:b/>
          <w:bCs/>
          <w:color w:val="1F4E5F"/>
          <w:sz w:val="26"/>
          <w:szCs w:val="26"/>
        </w:rPr>
        <w:t xml:space="preserve">5. Résultats — Emploi, revenus et environnement</w:t>
      </w:r>
    </w:p>
    <w:p>
      <w:pPr>
        <w:spacing w:after="160" w:line="276"/>
      </w:pPr>
      <w:r>
        <w:rPr>
          <w:sz w:val="21"/>
          <w:szCs w:val="21"/>
        </w:rPr>
        <w:t xml:space="preserve">L'analyse des 25 acteurs de la chaîne de valeur (collecteurs et artisans) permet d'estimer le potentiel de création d'emplois et de revenus d'une filière structurée.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800"/>
        <w:gridCol w:w="2100"/>
        <w:gridCol w:w="2100"/>
        <w:gridCol w:w="2100"/>
      </w:tblGrid>
      <w:tr>
        <w:tc>
          <w:tcPr>
            <w:tcW w:type="dxa" w:w="3800"/>
            <w:shd w:fill="1F4E5F" w:val="clear"/>
            <w:tcMar>
              <w:top w:type="dxa" w:w="100"/>
              <w:left w:type="dxa" w:w="120"/>
              <w:bottom w:type="dxa" w:w="100"/>
              <w:right w:type="dxa" w:w="120"/>
            </w:tcMar>
          </w:tcPr>
          <w:p>
            <w:pPr>
              <w:jc w:val="left"/>
            </w:pPr>
            <w:r>
              <w:rPr>
                <w:b/>
                <w:bCs/>
                <w:color w:val="FFFFFF"/>
                <w:sz w:val="19"/>
                <w:szCs w:val="19"/>
              </w:rPr>
              <w:t xml:space="preserve">Indicateur</w:t>
            </w:r>
          </w:p>
        </w:tc>
        <w:tc>
          <w:tcPr>
            <w:tcW w:type="dxa" w:w="2100"/>
            <w:shd w:fill="1F4E5F" w:val="clear"/>
            <w:tcMar>
              <w:top w:type="dxa" w:w="100"/>
              <w:left w:type="dxa" w:w="120"/>
              <w:bottom w:type="dxa" w:w="100"/>
              <w:right w:type="dxa" w:w="120"/>
            </w:tcMar>
          </w:tcPr>
          <w:p>
            <w:pPr>
              <w:jc w:val="center"/>
            </w:pPr>
            <w:r>
              <w:rPr>
                <w:b/>
                <w:bCs/>
                <w:color w:val="FFFFFF"/>
                <w:sz w:val="19"/>
                <w:szCs w:val="19"/>
              </w:rPr>
              <w:t xml:space="preserve">Collecteurs</w:t>
            </w:r>
          </w:p>
        </w:tc>
        <w:tc>
          <w:tcPr>
            <w:tcW w:type="dxa" w:w="2100"/>
            <w:shd w:fill="1F4E5F" w:val="clear"/>
            <w:tcMar>
              <w:top w:type="dxa" w:w="100"/>
              <w:left w:type="dxa" w:w="120"/>
              <w:bottom w:type="dxa" w:w="100"/>
              <w:right w:type="dxa" w:w="120"/>
            </w:tcMar>
          </w:tcPr>
          <w:p>
            <w:pPr>
              <w:jc w:val="center"/>
            </w:pPr>
            <w:r>
              <w:rPr>
                <w:b/>
                <w:bCs/>
                <w:color w:val="FFFFFF"/>
                <w:sz w:val="19"/>
                <w:szCs w:val="19"/>
              </w:rPr>
              <w:t xml:space="preserve">Artisans</w:t>
            </w:r>
          </w:p>
        </w:tc>
        <w:tc>
          <w:tcPr>
            <w:tcW w:type="dxa" w:w="2100"/>
            <w:shd w:fill="1F4E5F" w:val="clear"/>
            <w:tcMar>
              <w:top w:type="dxa" w:w="100"/>
              <w:left w:type="dxa" w:w="120"/>
              <w:bottom w:type="dxa" w:w="100"/>
              <w:right w:type="dxa" w:w="120"/>
            </w:tcMar>
          </w:tcPr>
          <w:p>
            <w:pPr>
              <w:jc w:val="center"/>
            </w:pPr>
            <w:r>
              <w:rPr>
                <w:b/>
                <w:bCs/>
                <w:color w:val="FFFFFF"/>
                <w:sz w:val="19"/>
                <w:szCs w:val="19"/>
              </w:rPr>
              <w:t xml:space="preserve">Ensemble</w:t>
            </w:r>
          </w:p>
        </w:tc>
      </w:tr>
      <w:tr>
        <w:tc>
          <w:tcPr>
            <w:tcW w:type="dxa" w:w="3800"/>
            <w:tcMar>
              <w:top w:type="dxa" w:w="100"/>
              <w:left w:type="dxa" w:w="120"/>
              <w:bottom w:type="dxa" w:w="100"/>
              <w:right w:type="dxa" w:w="120"/>
            </w:tcMar>
          </w:tcPr>
          <w:p>
            <w:pPr>
              <w:jc w:val="left"/>
            </w:pPr>
            <w:r>
              <w:rPr>
                <w:b/>
                <w:bCs/>
                <w:color w:val="000000"/>
                <w:sz w:val="19"/>
                <w:szCs w:val="19"/>
              </w:rPr>
              <w:t xml:space="preserve">Effectif (N)</w:t>
            </w:r>
          </w:p>
        </w:tc>
        <w:tc>
          <w:tcPr>
            <w:tcW w:type="dxa" w:w="2100"/>
            <w:tcMar>
              <w:top w:type="dxa" w:w="100"/>
              <w:left w:type="dxa" w:w="120"/>
              <w:bottom w:type="dxa" w:w="100"/>
              <w:right w:type="dxa" w:w="120"/>
            </w:tcMar>
          </w:tcPr>
          <w:p>
            <w:pPr>
              <w:jc w:val="center"/>
            </w:pPr>
            <w:r>
              <w:rPr>
                <w:b w:val="false"/>
                <w:bCs w:val="false"/>
                <w:color w:val="000000"/>
                <w:sz w:val="19"/>
                <w:szCs w:val="19"/>
              </w:rPr>
              <w:t xml:space="preserve">15</w:t>
            </w:r>
          </w:p>
        </w:tc>
        <w:tc>
          <w:tcPr>
            <w:tcW w:type="dxa" w:w="2100"/>
            <w:tcMar>
              <w:top w:type="dxa" w:w="100"/>
              <w:left w:type="dxa" w:w="120"/>
              <w:bottom w:type="dxa" w:w="100"/>
              <w:right w:type="dxa" w:w="120"/>
            </w:tcMar>
          </w:tcPr>
          <w:p>
            <w:pPr>
              <w:jc w:val="center"/>
            </w:pPr>
            <w:r>
              <w:rPr>
                <w:b w:val="false"/>
                <w:bCs w:val="false"/>
                <w:color w:val="000000"/>
                <w:sz w:val="19"/>
                <w:szCs w:val="19"/>
              </w:rPr>
              <w:t xml:space="preserve">10</w:t>
            </w:r>
          </w:p>
        </w:tc>
        <w:tc>
          <w:tcPr>
            <w:tcW w:type="dxa" w:w="2100"/>
            <w:tcMar>
              <w:top w:type="dxa" w:w="100"/>
              <w:left w:type="dxa" w:w="120"/>
              <w:bottom w:type="dxa" w:w="100"/>
              <w:right w:type="dxa" w:w="120"/>
            </w:tcMar>
          </w:tcPr>
          <w:p>
            <w:pPr>
              <w:jc w:val="center"/>
            </w:pPr>
            <w:r>
              <w:rPr>
                <w:b w:val="false"/>
                <w:bCs w:val="false"/>
                <w:color w:val="000000"/>
                <w:sz w:val="19"/>
                <w:szCs w:val="19"/>
              </w:rPr>
              <w:t xml:space="preserve">25</w:t>
            </w:r>
          </w:p>
        </w:tc>
      </w:tr>
      <w:tr>
        <w:tc>
          <w:tcPr>
            <w:tcW w:type="dxa" w:w="3800"/>
            <w:tcMar>
              <w:top w:type="dxa" w:w="100"/>
              <w:left w:type="dxa" w:w="120"/>
              <w:bottom w:type="dxa" w:w="100"/>
              <w:right w:type="dxa" w:w="120"/>
            </w:tcMar>
          </w:tcPr>
          <w:p>
            <w:pPr>
              <w:jc w:val="left"/>
            </w:pPr>
            <w:r>
              <w:rPr>
                <w:b/>
                <w:bCs/>
                <w:color w:val="000000"/>
                <w:sz w:val="19"/>
                <w:szCs w:val="19"/>
              </w:rPr>
              <w:t xml:space="preserve">Revenu actuel moyen (FCFA/mois)</w:t>
            </w:r>
          </w:p>
        </w:tc>
        <w:tc>
          <w:tcPr>
            <w:tcW w:type="dxa" w:w="2100"/>
            <w:tcMar>
              <w:top w:type="dxa" w:w="100"/>
              <w:left w:type="dxa" w:w="120"/>
              <w:bottom w:type="dxa" w:w="100"/>
              <w:right w:type="dxa" w:w="120"/>
            </w:tcMar>
          </w:tcPr>
          <w:p>
            <w:pPr>
              <w:jc w:val="center"/>
            </w:pPr>
            <w:r>
              <w:rPr>
                <w:b w:val="false"/>
                <w:bCs w:val="false"/>
                <w:color w:val="000000"/>
                <w:sz w:val="19"/>
                <w:szCs w:val="19"/>
              </w:rPr>
              <w:t xml:space="preserve">24 067</w:t>
            </w:r>
          </w:p>
        </w:tc>
        <w:tc>
          <w:tcPr>
            <w:tcW w:type="dxa" w:w="2100"/>
            <w:tcMar>
              <w:top w:type="dxa" w:w="100"/>
              <w:left w:type="dxa" w:w="120"/>
              <w:bottom w:type="dxa" w:w="100"/>
              <w:right w:type="dxa" w:w="120"/>
            </w:tcMar>
          </w:tcPr>
          <w:p>
            <w:pPr>
              <w:jc w:val="center"/>
            </w:pPr>
            <w:r>
              <w:rPr>
                <w:b w:val="false"/>
                <w:bCs w:val="false"/>
                <w:color w:val="000000"/>
                <w:sz w:val="19"/>
                <w:szCs w:val="19"/>
              </w:rPr>
              <w:t xml:space="preserve">35 200</w:t>
            </w:r>
          </w:p>
        </w:tc>
        <w:tc>
          <w:tcPr>
            <w:tcW w:type="dxa" w:w="2100"/>
            <w:tcMar>
              <w:top w:type="dxa" w:w="100"/>
              <w:left w:type="dxa" w:w="120"/>
              <w:bottom w:type="dxa" w:w="100"/>
              <w:right w:type="dxa" w:w="120"/>
            </w:tcMar>
          </w:tcPr>
          <w:p>
            <w:pPr>
              <w:jc w:val="center"/>
            </w:pPr>
            <w:r>
              <w:rPr>
                <w:b w:val="false"/>
                <w:bCs w:val="false"/>
                <w:color w:val="000000"/>
                <w:sz w:val="19"/>
                <w:szCs w:val="19"/>
              </w:rPr>
              <w:t xml:space="preserve">28 520</w:t>
            </w:r>
          </w:p>
        </w:tc>
      </w:tr>
      <w:tr>
        <w:tc>
          <w:tcPr>
            <w:tcW w:type="dxa" w:w="3800"/>
            <w:tcMar>
              <w:top w:type="dxa" w:w="100"/>
              <w:left w:type="dxa" w:w="120"/>
              <w:bottom w:type="dxa" w:w="100"/>
              <w:right w:type="dxa" w:w="120"/>
            </w:tcMar>
          </w:tcPr>
          <w:p>
            <w:pPr>
              <w:jc w:val="left"/>
            </w:pPr>
            <w:r>
              <w:rPr>
                <w:b/>
                <w:bCs/>
                <w:color w:val="000000"/>
                <w:sz w:val="19"/>
                <w:szCs w:val="19"/>
              </w:rPr>
              <w:t xml:space="preserve">Revenu potentiel estimé (FCFA/mois)</w:t>
            </w:r>
          </w:p>
        </w:tc>
        <w:tc>
          <w:tcPr>
            <w:tcW w:type="dxa" w:w="2100"/>
            <w:tcMar>
              <w:top w:type="dxa" w:w="100"/>
              <w:left w:type="dxa" w:w="120"/>
              <w:bottom w:type="dxa" w:w="100"/>
              <w:right w:type="dxa" w:w="120"/>
            </w:tcMar>
          </w:tcPr>
          <w:p>
            <w:pPr>
              <w:jc w:val="center"/>
            </w:pPr>
            <w:r>
              <w:rPr>
                <w:b w:val="false"/>
                <w:bCs w:val="false"/>
                <w:color w:val="000000"/>
                <w:sz w:val="19"/>
                <w:szCs w:val="19"/>
              </w:rPr>
              <w:t xml:space="preserve">28 628</w:t>
            </w:r>
          </w:p>
        </w:tc>
        <w:tc>
          <w:tcPr>
            <w:tcW w:type="dxa" w:w="2100"/>
            <w:tcMar>
              <w:top w:type="dxa" w:w="100"/>
              <w:left w:type="dxa" w:w="120"/>
              <w:bottom w:type="dxa" w:w="100"/>
              <w:right w:type="dxa" w:w="120"/>
            </w:tcMar>
          </w:tcPr>
          <w:p>
            <w:pPr>
              <w:jc w:val="center"/>
            </w:pPr>
            <w:r>
              <w:rPr>
                <w:b w:val="false"/>
                <w:bCs w:val="false"/>
                <w:color w:val="000000"/>
                <w:sz w:val="19"/>
                <w:szCs w:val="19"/>
              </w:rPr>
              <w:t xml:space="preserve">42 792</w:t>
            </w:r>
          </w:p>
        </w:tc>
        <w:tc>
          <w:tcPr>
            <w:tcW w:type="dxa" w:w="2100"/>
            <w:tcMar>
              <w:top w:type="dxa" w:w="100"/>
              <w:left w:type="dxa" w:w="120"/>
              <w:bottom w:type="dxa" w:w="100"/>
              <w:right w:type="dxa" w:w="120"/>
            </w:tcMar>
          </w:tcPr>
          <w:p>
            <w:pPr>
              <w:jc w:val="center"/>
            </w:pPr>
            <w:r>
              <w:rPr>
                <w:b w:val="false"/>
                <w:bCs w:val="false"/>
                <w:color w:val="000000"/>
                <w:sz w:val="19"/>
                <w:szCs w:val="19"/>
              </w:rPr>
              <w:t xml:space="preserve">34 294</w:t>
            </w:r>
          </w:p>
        </w:tc>
      </w:tr>
      <w:tr>
        <w:tc>
          <w:tcPr>
            <w:tcW w:type="dxa" w:w="3800"/>
            <w:tcMar>
              <w:top w:type="dxa" w:w="100"/>
              <w:left w:type="dxa" w:w="120"/>
              <w:bottom w:type="dxa" w:w="100"/>
              <w:right w:type="dxa" w:w="120"/>
            </w:tcMar>
          </w:tcPr>
          <w:p>
            <w:pPr>
              <w:jc w:val="left"/>
            </w:pPr>
            <w:r>
              <w:rPr>
                <w:b/>
                <w:bCs/>
                <w:color w:val="000000"/>
                <w:sz w:val="19"/>
                <w:szCs w:val="19"/>
              </w:rPr>
              <w:t xml:space="preserve">Gain potentiel moyen</w:t>
            </w:r>
          </w:p>
        </w:tc>
        <w:tc>
          <w:tcPr>
            <w:tcW w:type="dxa" w:w="2100"/>
            <w:tcMar>
              <w:top w:type="dxa" w:w="100"/>
              <w:left w:type="dxa" w:w="120"/>
              <w:bottom w:type="dxa" w:w="100"/>
              <w:right w:type="dxa" w:w="120"/>
            </w:tcMar>
          </w:tcPr>
          <w:p>
            <w:pPr>
              <w:jc w:val="center"/>
            </w:pPr>
            <w:r>
              <w:rPr>
                <w:b w:val="false"/>
                <w:bCs w:val="false"/>
                <w:color w:val="000000"/>
                <w:sz w:val="19"/>
                <w:szCs w:val="19"/>
              </w:rPr>
              <w:t xml:space="preserve">+19,0%</w:t>
            </w:r>
          </w:p>
        </w:tc>
        <w:tc>
          <w:tcPr>
            <w:tcW w:type="dxa" w:w="2100"/>
            <w:tcMar>
              <w:top w:type="dxa" w:w="100"/>
              <w:left w:type="dxa" w:w="120"/>
              <w:bottom w:type="dxa" w:w="100"/>
              <w:right w:type="dxa" w:w="120"/>
            </w:tcMar>
          </w:tcPr>
          <w:p>
            <w:pPr>
              <w:jc w:val="center"/>
            </w:pPr>
            <w:r>
              <w:rPr>
                <w:b w:val="false"/>
                <w:bCs w:val="false"/>
                <w:color w:val="000000"/>
                <w:sz w:val="19"/>
                <w:szCs w:val="19"/>
              </w:rPr>
              <w:t xml:space="preserve">+21,6%</w:t>
            </w:r>
          </w:p>
        </w:tc>
        <w:tc>
          <w:tcPr>
            <w:tcW w:type="dxa" w:w="2100"/>
            <w:tcMar>
              <w:top w:type="dxa" w:w="100"/>
              <w:left w:type="dxa" w:w="120"/>
              <w:bottom w:type="dxa" w:w="100"/>
              <w:right w:type="dxa" w:w="120"/>
            </w:tcMar>
          </w:tcPr>
          <w:p>
            <w:pPr>
              <w:jc w:val="center"/>
            </w:pPr>
            <w:r>
              <w:rPr>
                <w:b w:val="false"/>
                <w:bCs w:val="false"/>
                <w:color w:val="000000"/>
                <w:sz w:val="19"/>
                <w:szCs w:val="19"/>
              </w:rPr>
              <w:t xml:space="preserve">+20,1%</w:t>
            </w:r>
          </w:p>
        </w:tc>
      </w:tr>
    </w:tbl>
    <w:p>
      <w:pPr>
        <w:spacing w:before="200"/>
      </w:pPr>
    </w:p>
    <w:p>
      <w:pPr>
        <w:jc w:val="center"/>
      </w:pPr>
      <w:r>
        <w:drawing>
          <wp:inline distT="0" distB="0" distL="0" distR="0">
            <wp:extent cx="4000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914650"/>
                    </a:xfrm>
                    <a:prstGeom prst="rect">
                      <a:avLst/>
                    </a:prstGeom>
                  </pic:spPr>
                </pic:pic>
              </a:graphicData>
            </a:graphic>
          </wp:inline>
        </w:drawing>
      </w:r>
    </w:p>
    <w:p>
      <w:pPr>
        <w:spacing w:before="200"/>
      </w:pPr>
    </w:p>
    <w:p>
      <w:pPr>
        <w:spacing w:after="160" w:line="276"/>
      </w:pPr>
      <w:r>
        <w:rPr>
          <w:i/>
          <w:iCs/>
          <w:color w:val="595959"/>
          <w:sz w:val="21"/>
          <w:szCs w:val="21"/>
        </w:rPr>
        <w:t xml:space="preserve">Le test de comparaison de moyennes appariées confirme la cohérence interne du scénario projeté (t = -14,07, p &lt; 0,0001) ; ce résultat ne constitue toutefois pas une preuve d'impact causal réel, puisque le gain a été construit comme une hypothèse de projection et non mesuré sur une filière déjà opérationnelle.</w:t>
      </w:r>
    </w:p>
    <w:p>
      <w:pPr>
        <w:spacing w:after="160" w:line="276"/>
      </w:pPr>
      <w:r>
        <w:rPr>
          <w:sz w:val="21"/>
          <w:szCs w:val="21"/>
        </w:rPr>
        <w:t xml:space="preserve">Sur le plan environnemental, les acteurs enquêtés traitent un volume cumulé estimé à plusieurs centaines de kilogrammes de plastique par mois, un volume qui, à l'échelle d'une filière structurée, représenterait un détournement significatif de déchets des caniveaux et décharges urbaines de Cotonou — contribuant à la réduction des risques d'inondation liés à l'obstruction des systèmes de drainage.</w:t>
      </w:r>
    </w:p>
    <w:p>
      <w:pPr>
        <w:pStyle w:val="Heading1"/>
        <w:spacing w:after="160" w:before="360"/>
      </w:pPr>
      <w:r>
        <w:rPr>
          <w:b/>
          <w:bCs/>
          <w:color w:val="1F4E5F"/>
          <w:sz w:val="26"/>
          <w:szCs w:val="26"/>
        </w:rPr>
        <w:t xml:space="preserve">6. Synthèse selon les 4 axes d'impact</w:t>
      </w:r>
    </w:p>
    <w:p>
      <w:pPr>
        <w:pStyle w:val="ListParagraph"/>
        <w:numPr>
          <w:ilvl w:val="0"/>
          <w:numId w:val="1"/>
        </w:numPr>
        <w:spacing w:after="80" w:line="276"/>
      </w:pPr>
      <w:r>
        <w:rPr>
          <w:sz w:val="21"/>
          <w:szCs w:val="21"/>
        </w:rPr>
        <w:t xml:space="preserve">Emploi : 25 métiers recensés dans l'échantillon (collecteurs, artisans), potentiellement formalisables dans une filière structurée.</w:t>
      </w:r>
    </w:p>
    <w:p>
      <w:pPr>
        <w:pStyle w:val="ListParagraph"/>
        <w:numPr>
          <w:ilvl w:val="0"/>
          <w:numId w:val="1"/>
        </w:numPr>
        <w:spacing w:after="80" w:line="276"/>
      </w:pPr>
      <w:r>
        <w:rPr>
          <w:sz w:val="21"/>
          <w:szCs w:val="21"/>
        </w:rPr>
        <w:t xml:space="preserve">Revenus : gain potentiel moyen estimé à +20% pour les acteurs intégrés à la filière.</w:t>
      </w:r>
    </w:p>
    <w:p>
      <w:pPr>
        <w:pStyle w:val="ListParagraph"/>
        <w:numPr>
          <w:ilvl w:val="0"/>
          <w:numId w:val="1"/>
        </w:numPr>
        <w:spacing w:after="80" w:line="276"/>
      </w:pPr>
      <w:r>
        <w:rPr>
          <w:sz w:val="21"/>
          <w:szCs w:val="21"/>
        </w:rPr>
        <w:t xml:space="preserve">Vie sociale : l'acceptabilité de la filière dépend avant tout de l'information disponible, non du niveau de revenu — un enjeu de communication communautaire plus que d'aide financière.</w:t>
      </w:r>
    </w:p>
    <w:p>
      <w:pPr>
        <w:pStyle w:val="ListParagraph"/>
        <w:numPr>
          <w:ilvl w:val="0"/>
          <w:numId w:val="1"/>
        </w:numPr>
        <w:spacing w:after="80" w:line="276"/>
      </w:pPr>
      <w:r>
        <w:rPr>
          <w:sz w:val="21"/>
          <w:szCs w:val="21"/>
        </w:rPr>
        <w:t xml:space="preserve">Environnement : réduction potentielle de la quantité de plastique dans l'environnement urbain, avec un effet indirect sur la réduction des risques d'inondation.</w:t>
      </w:r>
    </w:p>
    <w:p>
      <w:pPr>
        <w:pStyle w:val="Heading1"/>
        <w:spacing w:after="160" w:before="360"/>
      </w:pPr>
      <w:r>
        <w:rPr>
          <w:b/>
          <w:bCs/>
          <w:color w:val="1F4E5F"/>
          <w:sz w:val="26"/>
          <w:szCs w:val="26"/>
        </w:rPr>
        <w:t xml:space="preserve">7. Recommandations</w:t>
      </w:r>
    </w:p>
    <w:p>
      <w:pPr>
        <w:pStyle w:val="ListParagraph"/>
        <w:numPr>
          <w:ilvl w:val="0"/>
          <w:numId w:val="1"/>
        </w:numPr>
        <w:spacing w:after="80" w:line="276"/>
      </w:pPr>
      <w:r>
        <w:rPr>
          <w:sz w:val="21"/>
          <w:szCs w:val="21"/>
        </w:rPr>
        <w:t xml:space="preserve">Prioriser une campagne de sensibilisation communautaire sur l'existence et les bénéfices de la filière, plutôt qu'une subvention directe.</w:t>
      </w:r>
    </w:p>
    <w:p>
      <w:pPr>
        <w:pStyle w:val="ListParagraph"/>
        <w:numPr>
          <w:ilvl w:val="0"/>
          <w:numId w:val="1"/>
        </w:numPr>
        <w:spacing w:after="80" w:line="276"/>
      </w:pPr>
      <w:r>
        <w:rPr>
          <w:sz w:val="21"/>
          <w:szCs w:val="21"/>
        </w:rPr>
        <w:t xml:space="preserve">Structurer un cadre de collecte formalisé pour les collecteurs informels, sécurisant leurs revenus tout en augmentant le volume de plastique valorisé.</w:t>
      </w:r>
    </w:p>
    <w:p>
      <w:pPr>
        <w:pStyle w:val="ListParagraph"/>
        <w:numPr>
          <w:ilvl w:val="0"/>
          <w:numId w:val="1"/>
        </w:numPr>
        <w:spacing w:after="80" w:line="276"/>
      </w:pPr>
      <w:r>
        <w:rPr>
          <w:sz w:val="21"/>
          <w:szCs w:val="21"/>
        </w:rPr>
        <w:t xml:space="preserve">Mettre en place un suivi mensuel des indicateurs clés (taux de tri, volume traité, revenus des acteurs) pour objectiver les effets réels une fois la filière opérationnelle.</w:t>
      </w:r>
    </w:p>
    <w:p>
      <w:pPr>
        <w:pStyle w:val="ListParagraph"/>
        <w:numPr>
          <w:ilvl w:val="0"/>
          <w:numId w:val="1"/>
        </w:numPr>
        <w:spacing w:after="80" w:line="276"/>
      </w:pPr>
      <w:r>
        <w:rPr>
          <w:sz w:val="21"/>
          <w:szCs w:val="21"/>
        </w:rPr>
        <w:t xml:space="preserve">Reconduire l'enquête ménages avec un échantillon élargi et un tirage probabiliste si un passage à l'échelle est envisagé, afin de disposer de résultats généralisables.</w:t>
      </w:r>
    </w:p>
    <w:p>
      <w:pPr>
        <w:pStyle w:val="Heading1"/>
        <w:spacing w:after="160" w:before="360"/>
      </w:pPr>
      <w:r>
        <w:rPr>
          <w:b/>
          <w:bCs/>
          <w:color w:val="1F4E5F"/>
          <w:sz w:val="26"/>
          <w:szCs w:val="26"/>
        </w:rPr>
        <w:t xml:space="preserve">8. Conclusion</w:t>
      </w:r>
    </w:p>
    <w:p>
      <w:pPr>
        <w:spacing w:after="160" w:line="276"/>
      </w:pPr>
      <w:r>
        <w:rPr>
          <w:sz w:val="21"/>
          <w:szCs w:val="21"/>
        </w:rPr>
        <w:t xml:space="preserve">Cette étude illustre comment une analyse socio-économique et environnementale rigoureuse peut éclairer la conception d'une filière d'économie circulaire, en combinant analyse quantitative (enquête ménages, modèle économétrique) et estimation du potentiel de création d'emplois et de revenus, tout en assumant explicitement les limites méthodologiques inhérentes à une étude menée avec des moyens restreints.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Joël AGBANLIN — Étude Pavés-Plastiques Cotonou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c9d354ce31740a3ffaf431bfb82f229401fc93e.png"/><Relationship Id="rId10" Type="http://schemas.openxmlformats.org/officeDocument/2006/relationships/image" Target="media/34c3ee10b289b48731970aad9f5c894b8491709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2026-07-21T12:52:55.490Z</dcterms:created>
  <dcterms:modified xsi:type="dcterms:W3CDTF">2026-07-21T12:52:55.511Z</dcterms:modified>
</cp:coreProperties>
</file>

<file path=docProps/custom.xml><?xml version="1.0" encoding="utf-8"?>
<Properties xmlns="http://schemas.openxmlformats.org/officeDocument/2006/custom-properties" xmlns:vt="http://schemas.openxmlformats.org/officeDocument/2006/docPropsVTypes"/>
</file>