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064A56"/>
          <w:sz w:val="36"/>
        </w:rPr>
        <w:t>Freight Rate Prediction — Solution Report</w:t>
      </w:r>
    </w:p>
    <w:p>
      <w:pPr>
        <w:spacing w:after="120"/>
        <w:jc w:val="left"/>
      </w:pPr>
      <w:r>
        <w:rPr>
          <w:rFonts w:ascii="Calibri" w:hAnsi="Calibri"/>
          <w:color w:val="455A60"/>
          <w:sz w:val="19"/>
        </w:rPr>
        <w:t>Machine Learning Engineer Assessment  ·  HistGradientBoostingRegressor on log(rate-per-mile)  ·  seed = 42</w:t>
      </w:r>
    </w:p>
    <w:p>
      <w:pPr>
        <w:pBdr>
          <w:bottom w:val="single" w:sz="6" w:space="1" w:color="1A8A9E"/>
        </w:pBdr>
        <w:spacing w:before="40" w:after="4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1. Summary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The goal is to predict posted_rate (freight load price in USD) for 12,000 unseen loads covering November–December 2025, using 48,000 labeled loads (January–October 2025) for training. The model is a gradient-boosted tree (sklearn HistGradientBoostingRegressor) that learns log(rate-per-mile); the dollar prediction is recovered as exp(output) × distance. Cross-validation uses three rolling-origin (expanding-window) folds, matching the temporal structure of the holdout set. The best model achieves an average non-outlier WAPE of 3.34% versus 8.76% for the naive median-rate-per-mile baseline on the same rows (a 62% reduction in weighted absolute error); including the outlier rows the figures are 5.47% versus 10.74% (a 49% reduction).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2. Data and Quality Issues</w:t>
      </w:r>
    </w:p>
    <w:p>
      <w:pPr>
        <w:spacing w:after="100"/>
      </w:pPr>
      <w:r>
        <w:rPr>
          <w:rFonts w:ascii="Calibri" w:hAnsi="Calibri"/>
          <w:color w:val="444444"/>
          <w:sz w:val="20"/>
        </w:rPr>
        <w:t>data/train_test.csv contains 48,000 rows (Jan–Oct 2025, 14 columns). data/validation.csv contains 12,000 rows (Nov–Dec 2025, 13 columns — no posted_rate). The following issues were identified and treated before feature engineering: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664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Scale (train / val)</w:t>
            </w:r>
          </w:p>
        </w:tc>
        <w:tc>
          <w:tcPr>
            <w:tcW w:type="dxa" w:w="381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Weight negative (sign error)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292 train  /  145 val</w:t>
            </w:r>
          </w:p>
        </w:tc>
        <w:tc>
          <w:tcPr>
            <w:tcW w:type="dxa" w:w="38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abs() — take absolute value</w:t>
            </w:r>
          </w:p>
        </w:tc>
      </w:tr>
      <w:tr>
        <w:tc>
          <w:tcPr>
            <w:tcW w:type="dxa" w:w="273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Weight missing</w:t>
            </w:r>
          </w:p>
        </w:tc>
        <w:tc>
          <w:tcPr>
            <w:tcW w:type="dxa" w:w="2664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300 train  /  165 val</w:t>
            </w:r>
          </w:p>
        </w:tc>
        <w:tc>
          <w:tcPr>
            <w:tcW w:type="dxa" w:w="381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Median by equipment type, then global median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Weight right-censored ≥ 47,500 lb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1,191 train  /  297 val</w:t>
            </w:r>
          </w:p>
        </w:tc>
        <w:tc>
          <w:tcPr>
            <w:tcW w:type="dxa" w:w="38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Kept as-is; ceiling value is informative</w:t>
            </w:r>
          </w:p>
        </w:tc>
      </w:tr>
      <w:tr>
        <w:tc>
          <w:tcPr>
            <w:tcW w:type="dxa" w:w="273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market_index missing</w:t>
            </w:r>
          </w:p>
        </w:tc>
        <w:tc>
          <w:tcPr>
            <w:tcW w:type="dxa" w:w="2664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374 train  /  249 val</w:t>
            </w:r>
          </w:p>
        </w:tc>
        <w:tc>
          <w:tcPr>
            <w:tcW w:type="dxa" w:w="381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Per-date median from same dataset's non-missing rows only (no leakage)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quote_signal missing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0 train  /  0 val</w:t>
            </w:r>
          </w:p>
        </w:tc>
        <w:tc>
          <w:tcPr>
            <w:tcW w:type="dxa" w:w="38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 action required</w:t>
            </w:r>
          </w:p>
        </w:tc>
      </w:tr>
      <w:tr>
        <w:tc>
          <w:tcPr>
            <w:tcW w:type="dxa" w:w="273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RPM outliers  &lt; $1.20/mi or &gt; $4.50/mi</w:t>
            </w:r>
          </w:p>
        </w:tc>
        <w:tc>
          <w:tcPr>
            <w:tcW w:type="dxa" w:w="2664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335 + 335 = 670 train  /  —</w:t>
            </w:r>
          </w:p>
        </w:tc>
        <w:tc>
          <w:tcPr>
            <w:tcW w:type="dxa" w:w="381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Excluded from training only; kept in 'all rows' evaluation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Duplicate load_ids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0 train  /  0 val</w:t>
            </w:r>
          </w:p>
        </w:tc>
        <w:tc>
          <w:tcPr>
            <w:tcW w:type="dxa" w:w="38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 action required</w:t>
            </w:r>
          </w:p>
        </w:tc>
      </w:tr>
      <w:tr>
        <w:tc>
          <w:tcPr>
            <w:tcW w:type="dxa" w:w="273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Cities in val absent from train</w:t>
            </w:r>
          </w:p>
        </w:tc>
        <w:tc>
          <w:tcPr>
            <w:tcW w:type="dxa" w:w="2664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8 cities (e.g. Chicago, Laredo)</w:t>
            </w:r>
          </w:p>
        </w:tc>
        <w:tc>
          <w:tcPr>
            <w:tcW w:type="dxa" w:w="3816"/>
            <w:shd w:val="clear" w:color="auto" w:fill="D4ED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Mapped to an '__unknown__' code (never seen in training, so not learned); lat/lon features still describe the city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road distance vs haversine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Mean gap = +170 mi (road &gt;&gt; straight-line)</w:t>
            </w:r>
          </w:p>
        </w:tc>
        <w:tc>
          <w:tcPr>
            <w:tcW w:type="dxa" w:w="38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Both distance and haversine_dist used as features; diff = routing detour proxy</w:t>
            </w:r>
          </w:p>
        </w:tc>
      </w:tr>
    </w:tbl>
    <w:p>
      <w:pPr>
        <w:spacing w:after="4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3. Train / Validation Split</w:t>
      </w:r>
    </w:p>
    <w:p>
      <w:pPr>
        <w:spacing w:after="80"/>
      </w:pPr>
      <w:r>
        <w:rPr>
          <w:rFonts w:ascii="Calibri" w:hAnsi="Calibri"/>
          <w:b/>
          <w:color w:val="064A56"/>
          <w:sz w:val="20"/>
        </w:rPr>
        <w:t xml:space="preserve">Why random K-fold is wrong here:  </w:t>
      </w:r>
      <w:r>
        <w:rPr>
          <w:rFonts w:ascii="Calibri" w:hAnsi="Calibri"/>
          <w:color w:val="444444"/>
          <w:sz w:val="20"/>
        </w:rPr>
        <w:t>The validation set (Nov–Dec 2025) is strictly later than the training set (Jan–Oct 2025). Random K-fold would mix future labels into earlier training folds, artificially inflating performance estimates, and it would not mimic the real task of predicting a later period (Nov–Dec) from earlier data only.</w:t>
      </w:r>
    </w:p>
    <w:p>
      <w:pPr>
        <w:spacing w:after="100"/>
      </w:pPr>
      <w:r>
        <w:rPr>
          <w:rFonts w:ascii="Calibri" w:hAnsi="Calibri"/>
          <w:b/>
          <w:color w:val="064A56"/>
          <w:sz w:val="20"/>
        </w:rPr>
        <w:t xml:space="preserve">Strategy used — rolling-origin (expanding window):  </w:t>
      </w:r>
      <w:r>
        <w:rPr>
          <w:rFonts w:ascii="Calibri" w:hAnsi="Calibri"/>
          <w:color w:val="444444"/>
          <w:sz w:val="20"/>
        </w:rPr>
        <w:t>Three forward-chaining folds were used. In each fold the training window expands by one month and the two-month validation window advances by one month (adjacent validation windows overlap by one month), mirroring production conditions.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Fold</w:t>
            </w:r>
          </w:p>
        </w:tc>
        <w:tc>
          <w:tcPr>
            <w:tcW w:type="dxa" w:w="1872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Training window</w:t>
            </w:r>
          </w:p>
        </w:tc>
        <w:tc>
          <w:tcPr>
            <w:tcW w:type="dxa" w:w="1872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window</w:t>
            </w:r>
          </w:p>
        </w:tc>
        <w:tc>
          <w:tcPr>
            <w:tcW w:type="dxa" w:w="1872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 train</w:t>
            </w:r>
          </w:p>
        </w:tc>
        <w:tc>
          <w:tcPr>
            <w:tcW w:type="dxa" w:w="1872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 val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Jan 2025 – Jun 2025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Jul 2025 – Aug 2025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28,806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9,671</w:t>
            </w:r>
          </w:p>
        </w:tc>
      </w:tr>
      <w:tr>
        <w:tc>
          <w:tcPr>
            <w:tcW w:type="dxa" w:w="187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87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Jan 2025 – Jul 2025</w:t>
            </w:r>
          </w:p>
        </w:tc>
        <w:tc>
          <w:tcPr>
            <w:tcW w:type="dxa" w:w="187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Aug 2025 – Sep 2025</w:t>
            </w:r>
          </w:p>
        </w:tc>
        <w:tc>
          <w:tcPr>
            <w:tcW w:type="dxa" w:w="187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33,718</w:t>
            </w:r>
          </w:p>
        </w:tc>
        <w:tc>
          <w:tcPr>
            <w:tcW w:type="dxa" w:w="187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9,429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Jan 2025 – Aug 2025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Sep 2025 – Oct 2025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38,477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9,523</w:t>
            </w:r>
          </w:p>
        </w:tc>
      </w:tr>
    </w:tbl>
    <w:p>
      <w:pPr>
        <w:spacing w:after="4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4. Model</w:t>
      </w:r>
    </w:p>
    <w:p>
      <w:pPr>
        <w:spacing w:after="80"/>
      </w:pPr>
      <w:r>
        <w:rPr>
          <w:rFonts w:ascii="Calibri" w:hAnsi="Calibri"/>
          <w:b/>
          <w:color w:val="064A56"/>
          <w:sz w:val="20"/>
        </w:rPr>
        <w:t xml:space="preserve">Target — log(rate-per-mile):  </w:t>
      </w:r>
      <w:r>
        <w:rPr>
          <w:rFonts w:ascii="Calibri" w:hAnsi="Calibri"/>
          <w:color w:val="444444"/>
          <w:sz w:val="20"/>
        </w:rPr>
        <w:t>Rate-per-mile (RPM = posted_rate / distance) is strongly right-skewed (skewness 8.72 raw, −0.04 after the log). Modelling log(RPM) gives a near-symmetric target, ensures predictions are always positive, and respects the multiplicative relationship between price-per-mile and distance. Predictions are recovered as  exp(model output) × distance.</w:t>
      </w:r>
    </w:p>
    <w:p>
      <w:pPr>
        <w:spacing w:after="80"/>
      </w:pPr>
      <w:r>
        <w:rPr>
          <w:rFonts w:ascii="Calibri" w:hAnsi="Calibri"/>
          <w:b/>
          <w:color w:val="064A56"/>
          <w:sz w:val="20"/>
        </w:rPr>
        <w:t xml:space="preserve">Algorithm — HistGradientBoostingRegressor (sklearn):  </w:t>
      </w:r>
      <w:r>
        <w:rPr>
          <w:rFonts w:ascii="Calibri" w:hAnsi="Calibri"/>
          <w:color w:val="444444"/>
          <w:sz w:val="20"/>
        </w:rPr>
        <w:t>Gradient-boosted histogram trees handle the mixed feature space (numeric distances, temporal day features, and equipment, city and lane columns label-encoded as integers). Missing weight and market_index values are imputed before modelling, so the model never sees NaNs. max_iter=500, learning_rate=0.05, max_depth=6, min_samples_leaf=20, l2_regularization=0.1, seed=42.</w:t>
      </w:r>
    </w:p>
    <w:p>
      <w:pPr>
        <w:spacing w:after="80"/>
      </w:pPr>
      <w:r>
        <w:rPr>
          <w:rFonts w:ascii="Calibri" w:hAnsi="Calibri"/>
          <w:b/>
          <w:color w:val="064A56"/>
          <w:sz w:val="20"/>
        </w:rPr>
        <w:t xml:space="preserve">What else was compared:  </w:t>
      </w:r>
      <w:r>
        <w:rPr>
          <w:rFonts w:ascii="Calibri" w:hAnsi="Calibri"/>
          <w:color w:val="444444"/>
          <w:sz w:val="20"/>
        </w:rPr>
        <w:t>(a) Naive baseline: median RPM from non-outlier training rows × distance. (b) HGBR with squared_error loss on log(RPM). (c) HGBR with absolute_error loss on log(RPM). Both HGBR variants far outperform the baseline. squared_error was selected (avg non-outlier WAPE 3.34% vs 3.38% for absolute_error).</w:t>
      </w:r>
    </w:p>
    <w:p>
      <w:pPr>
        <w:spacing w:after="40"/>
      </w:pPr>
      <w:r>
        <w:rPr>
          <w:rFonts w:ascii="Calibri" w:hAnsi="Calibri"/>
          <w:b/>
          <w:color w:val="064A56"/>
          <w:sz w:val="20"/>
        </w:rPr>
        <w:t xml:space="preserve">Features (22 total):  </w:t>
      </w:r>
      <w:r>
        <w:rPr>
          <w:rFonts w:ascii="Calibri" w:hAnsi="Calibri"/>
          <w:color w:val="444444"/>
          <w:sz w:val="20"/>
        </w:rPr>
        <w:t>distance, haversine_dist, road−haversine gap, weight_clean, market_index_filled, quote_signal, quote×distance, quote×haversine, day_of_week, day_of_month, is_weekend, week_of_month, pickup_lat/lon, delivery_lat/lon, lat_diff, lon_diff, equipment_enc, pickup_enc, delivery_enc, lane_enc. month_of_year and day_of_year are intentionally excluded — tree models cannot extrapolate a monotone trend to Nov–Dec.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5. Results</w:t>
      </w:r>
    </w:p>
    <w:p>
      <w:pPr>
        <w:spacing w:after="100"/>
      </w:pPr>
      <w:r>
        <w:rPr>
          <w:rFonts w:ascii="Calibri" w:hAnsi="Calibri"/>
          <w:color w:val="444444"/>
          <w:sz w:val="20"/>
        </w:rPr>
        <w:t>3-fold rolling-origin CV averages. 'All rows' includes the 670 RPM outliers; 'Non-outlier' excludes rows where RPM &lt; $1.20/mi or &gt; $4.50/mi. Selected model marked ✓.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37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224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Rows</w:t>
            </w:r>
          </w:p>
        </w:tc>
        <w:tc>
          <w:tcPr>
            <w:tcW w:type="dxa" w:w="93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MAE ($)</w:t>
            </w:r>
          </w:p>
        </w:tc>
        <w:tc>
          <w:tcPr>
            <w:tcW w:type="dxa" w:w="93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RMSE ($)</w:t>
            </w:r>
          </w:p>
        </w:tc>
        <w:tc>
          <w:tcPr>
            <w:tcW w:type="dxa" w:w="93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MAPE (%)</w:t>
            </w:r>
          </w:p>
        </w:tc>
        <w:tc>
          <w:tcPr>
            <w:tcW w:type="dxa" w:w="1152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MedAPE (%)</w:t>
            </w:r>
          </w:p>
        </w:tc>
        <w:tc>
          <w:tcPr>
            <w:tcW w:type="dxa" w:w="936"/>
            <w:shd w:val="clear" w:color="auto" w:fill="064A5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WAPE (%)</w:t>
            </w:r>
          </w:p>
        </w:tc>
      </w:tr>
      <w:tr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Naive baseline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All rows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255.75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677.70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11.42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8.02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10.74</w:t>
            </w:r>
          </w:p>
        </w:tc>
      </w:tr>
      <w:tr>
        <w:tc>
          <w:tcPr>
            <w:tcW w:type="dxa" w:w="2376"/>
            <w:shd w:val="clear" w:color="auto" w:fill="EFF6F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Naive baseline</w:t>
            </w:r>
          </w:p>
        </w:tc>
        <w:tc>
          <w:tcPr>
            <w:tcW w:type="dxa" w:w="1224"/>
            <w:shd w:val="clear" w:color="auto" w:fill="EFF6F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Non-outlier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206.04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306.26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9.22</w:t>
            </w:r>
          </w:p>
        </w:tc>
        <w:tc>
          <w:tcPr>
            <w:tcW w:type="dxa" w:w="115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7.89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8.76</w:t>
            </w:r>
          </w:p>
        </w:tc>
      </w:tr>
      <w:tr>
        <w:tc>
          <w:tcPr>
            <w:tcW w:type="dxa" w:w="2376"/>
            <w:shd w:val="clear" w:color="auto" w:fill="C8E6C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HGBR / squared_error ✓</w:t>
            </w:r>
          </w:p>
        </w:tc>
        <w:tc>
          <w:tcPr>
            <w:tcW w:type="dxa" w:w="1224"/>
            <w:shd w:val="clear" w:color="auto" w:fill="C8E6C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All rows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130.13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630.37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5.81</w:t>
            </w:r>
          </w:p>
        </w:tc>
        <w:tc>
          <w:tcPr>
            <w:tcW w:type="dxa" w:w="1152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2.62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5.47</w:t>
            </w:r>
          </w:p>
        </w:tc>
      </w:tr>
      <w:tr>
        <w:tc>
          <w:tcPr>
            <w:tcW w:type="dxa" w:w="2376"/>
            <w:shd w:val="clear" w:color="auto" w:fill="C8E6C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HGBR / squared_error ✓</w:t>
            </w:r>
          </w:p>
        </w:tc>
        <w:tc>
          <w:tcPr>
            <w:tcW w:type="dxa" w:w="1224"/>
            <w:shd w:val="clear" w:color="auto" w:fill="C8E6C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Non-outlier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78.49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132.27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3.57</w:t>
            </w:r>
          </w:p>
        </w:tc>
        <w:tc>
          <w:tcPr>
            <w:tcW w:type="dxa" w:w="1152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2.58</w:t>
            </w:r>
          </w:p>
        </w:tc>
        <w:tc>
          <w:tcPr>
            <w:tcW w:type="dxa" w:w="936"/>
            <w:shd w:val="clear" w:color="auto" w:fill="C8E6C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3.34</w:t>
            </w:r>
          </w:p>
        </w:tc>
      </w:tr>
      <w:tr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HGBR / absolute_error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All rows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131.05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630.80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5.97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2.46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5.50</w:t>
            </w:r>
          </w:p>
        </w:tc>
      </w:tr>
      <w:tr>
        <w:tc>
          <w:tcPr>
            <w:tcW w:type="dxa" w:w="2376"/>
            <w:shd w:val="clear" w:color="auto" w:fill="EFF6F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HGBR / absolute_error</w:t>
            </w:r>
          </w:p>
        </w:tc>
        <w:tc>
          <w:tcPr>
            <w:tcW w:type="dxa" w:w="1224"/>
            <w:shd w:val="clear" w:color="auto" w:fill="EFF6F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Non-outlier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79.39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134.07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3.73</w:t>
            </w:r>
          </w:p>
        </w:tc>
        <w:tc>
          <w:tcPr>
            <w:tcW w:type="dxa" w:w="1152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2.42</w:t>
            </w:r>
          </w:p>
        </w:tc>
        <w:tc>
          <w:tcPr>
            <w:tcW w:type="dxa" w:w="936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3.38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color w:val="444444"/>
          <w:sz w:val="20"/>
        </w:rPr>
        <w:t>Per-fold breakdown — HGBR / squared_error (selected model), non-outlier rows: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Fold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 window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 val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MAE ($)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RMSE ($)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MAPE (%)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MedAPE (%)</w:t>
            </w:r>
          </w:p>
        </w:tc>
        <w:tc>
          <w:tcPr>
            <w:tcW w:type="dxa" w:w="1170"/>
            <w:shd w:val="clear" w:color="auto" w:fill="1A8A9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WAPE (%)</w:t>
            </w:r>
          </w:p>
        </w:tc>
      </w:tr>
      <w:tr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Jul–Aug 2025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9,538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76.70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117.09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3.84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2.08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3.27</w:t>
            </w:r>
          </w:p>
        </w:tc>
      </w:tr>
      <w:tr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Aug–Sep 2025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9,298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74.97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134.04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3.49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2.47</w:t>
            </w:r>
          </w:p>
        </w:tc>
        <w:tc>
          <w:tcPr>
            <w:tcW w:type="dxa" w:w="1170"/>
            <w:shd w:val="clear" w:color="auto" w:fill="EFF6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3.20</w:t>
            </w:r>
          </w:p>
        </w:tc>
      </w:tr>
      <w:tr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Sep–Oct 2025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9,381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83.80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145.68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3.36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3.20</w:t>
            </w:r>
          </w:p>
        </w:tc>
        <w:tc>
          <w:tcPr>
            <w:tcW w:type="dxa" w:w="117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3.55</w:t>
            </w:r>
          </w:p>
        </w:tc>
      </w:tr>
      <w:tr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Avg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—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—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78.49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132.27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3.57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2.58</w:t>
            </w:r>
          </w:p>
        </w:tc>
        <w:tc>
          <w:tcPr>
            <w:tcW w:type="dxa" w:w="1170"/>
            <w:shd w:val="clear" w:color="auto" w:fill="D4EDF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3.34</w:t>
            </w:r>
          </w:p>
        </w:tc>
      </w:tr>
    </w:tbl>
    <w:p>
      <w:pPr>
        <w:spacing w:after="4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6. Fixed December Chart</w:t>
      </w:r>
    </w:p>
    <w:p>
      <w:pPr>
        <w:spacing w:after="120"/>
      </w:pPr>
      <w:r>
        <w:rPr>
          <w:rFonts w:ascii="Calibri" w:hAnsi="Calibri"/>
          <w:b/>
          <w:color w:val="064A56"/>
          <w:sz w:val="20"/>
        </w:rPr>
        <w:t xml:space="preserve">Assumption — market_index and quote_signal:  </w:t>
      </w:r>
      <w:r>
        <w:rPr>
          <w:rFonts w:ascii="Calibri" w:hAnsi="Calibri"/>
          <w:color w:val="444444"/>
          <w:sz w:val="20"/>
        </w:rPr>
        <w:t>The data/december_chart_inputs.csv file does not include these columns. Both are filled with their per-date median from data/validation.csv inputs for December 2025 (market_index median per day from the 6,030 non-missing December validation rows; quote_signal median per day from all 6,164 December validation rows). Lexington coordinates (36.99152, −84.99876) and Fort Wayne coordinates (41.31561, −85.36206) are taken from data/train_test.csv. Predictions range $785.49–$803.38 (mean $795.59), a swing of about $18 (2%). The curve repeats weekly: the weekday means are highest on Thursday ($801.9) and lowest on Sunday ($789.8).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7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455A60"/>
          <w:sz w:val="17"/>
        </w:rPr>
        <w:t>Figure 1: December 2025 predicted load rate — Lexington → Fort Wayne, 360 mi, Dry Van, 32,000 lb. Generated by score.py from december_chart_inputs_completed.csv.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64A56"/>
          <w:sz w:val="26"/>
        </w:rPr>
        <w:t>7. Reproducibility</w:t>
      </w:r>
    </w:p>
    <w:p>
      <w:pPr>
        <w:spacing w:after="60"/>
      </w:pPr>
      <w:r>
        <w:rPr>
          <w:rFonts w:ascii="Calibri" w:hAnsi="Calibri"/>
          <w:color w:val="444444"/>
          <w:sz w:val="20"/>
        </w:rPr>
        <w:t>All commands are run from the ML_assignment/ repository root.</w:t>
      </w:r>
    </w:p>
    <w:p>
      <w:pPr>
        <w:spacing w:before="80" w:after="0"/>
      </w:pPr>
      <w:r>
        <w:rPr>
          <w:rFonts w:ascii="Courier New" w:hAnsi="Courier New"/>
          <w:i/>
          <w:color w:val="1A8A9E"/>
          <w:sz w:val="17"/>
        </w:rPr>
        <w:t># 1. Install dependencies</w:t>
      </w:r>
    </w:p>
    <w:p>
      <w:pPr>
        <w:spacing w:before="0" w:after="20"/>
        <w:ind w:left="288"/>
      </w:pPr>
      <w:r>
        <w:rPr>
          <w:rFonts w:ascii="Courier New" w:hAnsi="Courier New"/>
          <w:color w:val="1C2C30"/>
          <w:sz w:val="17"/>
        </w:rPr>
        <w:t>pip install -r requirements.txt</w:t>
      </w:r>
    </w:p>
    <w:p>
      <w:pPr>
        <w:spacing w:before="80" w:after="0"/>
      </w:pPr>
      <w:r>
        <w:rPr>
          <w:rFonts w:ascii="Courier New" w:hAnsi="Courier New"/>
          <w:i/>
          <w:color w:val="1A8A9E"/>
          <w:sz w:val="17"/>
        </w:rPr>
        <w:t># 2. Train, cross-validate, and generate all prediction files</w:t>
      </w:r>
    </w:p>
    <w:p>
      <w:pPr>
        <w:spacing w:before="0" w:after="20"/>
        <w:ind w:left="288"/>
      </w:pPr>
      <w:r>
        <w:rPr>
          <w:rFonts w:ascii="Courier New" w:hAnsi="Courier New"/>
          <w:color w:val="1C2C30"/>
          <w:sz w:val="17"/>
        </w:rPr>
        <w:t>python src/train.py</w:t>
      </w:r>
    </w:p>
    <w:p>
      <w:pPr>
        <w:spacing w:before="80" w:after="0"/>
      </w:pPr>
      <w:r>
        <w:rPr>
          <w:rFonts w:ascii="Courier New" w:hAnsi="Courier New"/>
          <w:i/>
          <w:color w:val="1A8A9E"/>
          <w:sz w:val="17"/>
        </w:rPr>
        <w:t># 3. Validate submissions and produce the December chart</w:t>
      </w:r>
    </w:p>
    <w:p>
      <w:pPr>
        <w:spacing w:before="0" w:after="20"/>
        <w:ind w:left="288"/>
      </w:pPr>
      <w:r>
        <w:rPr>
          <w:rFonts w:ascii="Courier New" w:hAnsi="Courier New"/>
          <w:color w:val="1C2C30"/>
          <w:sz w:val="17"/>
        </w:rPr>
        <w:t>python score.py \</w:t>
        <w:br/>
        <w:t xml:space="preserve">  --predictions validation_predictions.csv \</w:t>
        <w:br/>
        <w:t xml:space="preserve">  --december-predictions december_chart_inputs_completed.csv \</w:t>
        <w:br/>
        <w:t xml:space="preserve">  --output-dir scorer_results</w:t>
      </w:r>
    </w:p>
    <w:p>
      <w:pPr>
        <w:spacing w:before="80" w:after="0"/>
      </w:pPr>
      <w:r>
        <w:rPr>
          <w:rFonts w:ascii="Courier New" w:hAnsi="Courier New"/>
          <w:i/>
          <w:color w:val="1A8A9E"/>
          <w:sz w:val="17"/>
        </w:rPr>
        <w:t># 4. (Optional) Regenerate this report</w:t>
      </w:r>
    </w:p>
    <w:p>
      <w:pPr>
        <w:spacing w:before="0" w:after="20"/>
        <w:ind w:left="288"/>
      </w:pPr>
      <w:r>
        <w:rPr>
          <w:rFonts w:ascii="Courier New" w:hAnsi="Courier New"/>
          <w:color w:val="1C2C30"/>
          <w:sz w:val="17"/>
        </w:rPr>
        <w:t>python make_report_docx.py</w:t>
      </w:r>
    </w:p>
    <w:p>
      <w:pPr>
        <w:spacing w:after="60"/>
      </w:pPr>
    </w:p>
    <w:p>
      <w:pPr>
        <w:spacing w:after="40"/>
      </w:pPr>
      <w:r>
        <w:rPr>
          <w:rFonts w:ascii="Calibri" w:hAnsi="Calibri"/>
          <w:color w:val="444444"/>
          <w:sz w:val="20"/>
        </w:rPr>
        <w:t>Seed 42 is fixed in every call to HistGradientBoostingRegressor. Label encoders are fitted once on training data and reused for inference. Byte-for-byte identical outputs confirmed across two independent runs (max difference: 0.0).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