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5FA5"/>
          <w:sz w:val="44"/>
        </w:rPr>
        <w:t>Sistema de Monitoreo PTAR Industrial</w:t>
      </w:r>
    </w:p>
    <w:p>
      <w:pPr>
        <w:jc w:val="center"/>
      </w:pPr>
      <w:r>
        <w:rPr>
          <w:i/>
          <w:color w:val="555555"/>
          <w:sz w:val="24"/>
        </w:rPr>
        <w:t>Propuesta de valor para la Gerencia Ambiental y de Planta</w:t>
      </w:r>
    </w:p>
    <w:p>
      <w:pPr>
        <w:jc w:val="center"/>
      </w:pPr>
      <w:r>
        <w:rPr>
          <w:i/>
          <w:color w:val="555555"/>
          <w:sz w:val="20"/>
        </w:rPr>
        <w:t>Red Proyectos con Ingeniería (RPCI) · 2026</w:t>
      </w:r>
    </w:p>
    <w:p/>
    <w:p>
      <w:pPr>
        <w:spacing w:after="80" w:line="300" w:lineRule="auto"/>
      </w:pPr>
      <w:r>
        <w:rPr>
          <w:color w:val="000000"/>
          <w:sz w:val="22"/>
        </w:rPr>
        <w:t>El siguiente documento resume las seis razones por las que implementar el sistema de monitoreo en línea de la PTAR (DQO, pH, Oxígeno Disuelto y operaciones complementarias) genera retorno medible en cumplimiento normativo, operación y reputación corporativa.</w:t>
      </w:r>
    </w:p>
    <w:p>
      <w:pPr>
        <w:spacing w:before="200" w:after="80"/>
      </w:pPr>
      <w:r>
        <w:rPr>
          <w:b/>
          <w:color w:val="185FA5"/>
          <w:sz w:val="28"/>
        </w:rPr>
        <w:t xml:space="preserve">1. </w:t>
      </w:r>
      <w:r>
        <w:rPr>
          <w:b/>
          <w:color w:val="185FA5"/>
          <w:sz w:val="28"/>
        </w:rPr>
        <w:t>Cumplimiento normativo continuo y trazabilidad legal</w:t>
      </w:r>
    </w:p>
    <w:p>
      <w:pPr>
        <w:spacing w:after="80" w:line="300" w:lineRule="auto"/>
      </w:pPr>
      <w:r>
        <w:rPr>
          <w:color w:val="000000"/>
          <w:sz w:val="22"/>
        </w:rPr>
        <w:t>El sistema registra cada lectura de los parámetros críticos cada 3 minutos, con sello de tiempo y almacenamiento permanente en una base de datos histórica (TimescaleDB). Esto convierte la planta en una operación auditable en cualquier momento.</w:t>
      </w:r>
    </w:p>
    <w:p>
      <w:pPr>
        <w:pStyle w:val="ListBullet"/>
        <w:spacing w:after="40"/>
      </w:pPr>
      <w:r>
        <w:rPr>
          <w:b/>
          <w:sz w:val="22"/>
        </w:rPr>
        <w:t>Defensa ante autoridades:</w:t>
      </w:r>
      <w:r>
        <w:rPr>
          <w:sz w:val="22"/>
        </w:rPr>
        <w:t xml:space="preserve"> Evidencia objetiva ante CAR, ANLA y auditorías ISO 14001 — el sistema construye automáticamente el registro de cumplimiento exigido por la resolución de vertimientos aplicable.</w:t>
      </w:r>
    </w:p>
    <w:p>
      <w:pPr>
        <w:pStyle w:val="ListBullet"/>
        <w:spacing w:after="40"/>
      </w:pPr>
      <w:r>
        <w:rPr>
          <w:b/>
          <w:sz w:val="22"/>
        </w:rPr>
        <w:t>Trazabilidad sin lagunas:</w:t>
      </w:r>
      <w:r>
        <w:rPr>
          <w:sz w:val="22"/>
        </w:rPr>
        <w:t xml:space="preserve"> Las desviaciones de DQO, pH u OD quedan registradas con timestamp y magnitud, eliminando la zona gris entre 'no lo vimos' y 'no pasó'.</w:t>
      </w:r>
    </w:p>
    <w:p>
      <w:pPr>
        <w:pStyle w:val="ListBullet"/>
        <w:spacing w:after="40"/>
      </w:pPr>
      <w:r>
        <w:rPr>
          <w:b/>
          <w:sz w:val="22"/>
        </w:rPr>
        <w:t>Reducción de multas:</w:t>
      </w:r>
      <w:r>
        <w:rPr>
          <w:sz w:val="22"/>
        </w:rPr>
        <w:t xml:space="preserve"> Sanciones por superar límites de vertimiento pueden alcanzar miles de SMMLV. Un solo evento evitado paga el sistema varias veces.</w:t>
      </w:r>
    </w:p>
    <w:p>
      <w:pPr>
        <w:spacing w:before="200" w:after="80"/>
      </w:pPr>
      <w:r>
        <w:rPr>
          <w:b/>
          <w:color w:val="185FA5"/>
          <w:sz w:val="28"/>
        </w:rPr>
        <w:t xml:space="preserve">2. </w:t>
      </w:r>
      <w:r>
        <w:rPr>
          <w:b/>
          <w:color w:val="185FA5"/>
          <w:sz w:val="28"/>
        </w:rPr>
        <w:t>Detección temprana de eventos fuera de rango</w:t>
      </w:r>
    </w:p>
    <w:p>
      <w:pPr>
        <w:spacing w:after="80" w:line="300" w:lineRule="auto"/>
      </w:pPr>
      <w:r>
        <w:rPr>
          <w:color w:val="000000"/>
          <w:sz w:val="22"/>
        </w:rPr>
        <w:t>Cada dashboard clasifica las lecturas en tiempo real en óptimo, advertencia y crítico, con indicadores visuales pulsantes ('EN VIVO') y tablas de eventos. El operador ve la desviación en el momento en que ocurre, no al día siguiente cuando ya es irreversible.</w:t>
      </w:r>
    </w:p>
    <w:p>
      <w:pPr>
        <w:pStyle w:val="ListBullet"/>
        <w:spacing w:after="40"/>
      </w:pPr>
      <w:r>
        <w:rPr>
          <w:b/>
          <w:sz w:val="22"/>
        </w:rPr>
        <w:t>Ventana de reacción:</w:t>
      </w:r>
      <w:r>
        <w:rPr>
          <w:sz w:val="22"/>
        </w:rPr>
        <w:t xml:space="preserve"> Si el pH se acerca al umbral crítico o el OD del reactor biológico cae por debajo del mínimo, la condición se visualiza inmediatamente y permite intervenir antes de que la biomasa colapse.</w:t>
      </w:r>
    </w:p>
    <w:p>
      <w:pPr>
        <w:pStyle w:val="ListBullet"/>
        <w:spacing w:after="40"/>
      </w:pPr>
      <w:r>
        <w:rPr>
          <w:b/>
          <w:sz w:val="22"/>
        </w:rPr>
        <w:t>Sin dependencia de turnos:</w:t>
      </w:r>
      <w:r>
        <w:rPr>
          <w:sz w:val="22"/>
        </w:rPr>
        <w:t xml:space="preserve"> Cada panel se actualiza automáticamente cada 60 segundos sin intervención humana; no depende de rondas manuales ni de Excel.</w:t>
      </w:r>
    </w:p>
    <w:p>
      <w:pPr>
        <w:spacing w:before="200" w:after="80"/>
      </w:pPr>
      <w:r>
        <w:rPr>
          <w:b/>
          <w:color w:val="185FA5"/>
          <w:sz w:val="28"/>
        </w:rPr>
        <w:t xml:space="preserve">3. </w:t>
      </w:r>
      <w:r>
        <w:rPr>
          <w:b/>
          <w:color w:val="185FA5"/>
          <w:sz w:val="28"/>
        </w:rPr>
        <w:t>Decisiones operativas basadas en datos verificables</w:t>
      </w:r>
    </w:p>
    <w:p>
      <w:pPr>
        <w:spacing w:after="80" w:line="300" w:lineRule="auto"/>
      </w:pPr>
      <w:r>
        <w:rPr>
          <w:color w:val="000000"/>
          <w:sz w:val="22"/>
        </w:rPr>
        <w:t>Los KPIs ejecutivos (DQO afluente, DQO efluente, eficiencia de remoción y cumplimiento normativo) se calculan automáticamente sobre los rangos seleccionados — hoy, esta semana, este mes, últimos 90 días o el año en curso — con comparación contra el período anterior.</w:t>
      </w:r>
    </w:p>
    <w:p>
      <w:pPr>
        <w:pStyle w:val="ListBullet"/>
        <w:spacing w:after="40"/>
      </w:pPr>
      <w:r>
        <w:rPr>
          <w:b/>
          <w:sz w:val="22"/>
        </w:rPr>
        <w:t>Antes / después medible:</w:t>
      </w:r>
      <w:r>
        <w:rPr>
          <w:sz w:val="22"/>
        </w:rPr>
        <w:t xml:space="preserve"> La gerencia puede medir si una modificación operativa (dosificación, tiempos de aireación, recirculación) realmente mejoró la eficiencia de remoción o solo lo aparentó.</w:t>
      </w:r>
    </w:p>
    <w:p>
      <w:pPr>
        <w:pStyle w:val="ListBullet"/>
        <w:spacing w:after="40"/>
      </w:pPr>
      <w:r>
        <w:rPr>
          <w:b/>
          <w:sz w:val="22"/>
        </w:rPr>
        <w:t>Visualización de patrones:</w:t>
      </w:r>
      <w:r>
        <w:rPr>
          <w:sz w:val="22"/>
        </w:rPr>
        <w:t xml:space="preserve"> Las gráficas de tendencia con bandas óptimas sombreadas permiten ver patrones (oscilaciones diarias, derivas, eventos repetitivos) que en planillas de Excel son invisibles.</w:t>
      </w:r>
    </w:p>
    <w:p>
      <w:pPr>
        <w:spacing w:before="200" w:after="80"/>
      </w:pPr>
      <w:r>
        <w:rPr>
          <w:b/>
          <w:color w:val="185FA5"/>
          <w:sz w:val="28"/>
        </w:rPr>
        <w:t xml:space="preserve">4. </w:t>
      </w:r>
      <w:r>
        <w:rPr>
          <w:b/>
          <w:color w:val="185FA5"/>
          <w:sz w:val="28"/>
        </w:rPr>
        <w:t>Optimización de costos químicos y energéticos</w:t>
      </w:r>
    </w:p>
    <w:p>
      <w:pPr>
        <w:spacing w:after="80" w:line="300" w:lineRule="auto"/>
      </w:pPr>
      <w:r>
        <w:rPr>
          <w:color w:val="000000"/>
          <w:sz w:val="22"/>
        </w:rPr>
        <w:t>Conocer en línea el comportamiento real del proceso permite ajustar consumos en lugar de sobre-dosificar 'por seguridad'.</w:t>
      </w:r>
    </w:p>
    <w:p>
      <w:pPr>
        <w:pStyle w:val="ListBullet"/>
        <w:spacing w:after="40"/>
      </w:pPr>
      <w:r>
        <w:rPr>
          <w:b/>
          <w:sz w:val="22"/>
        </w:rPr>
        <w:t>Aireación ajustada:</w:t>
      </w:r>
      <w:r>
        <w:rPr>
          <w:sz w:val="22"/>
        </w:rPr>
        <w:t xml:space="preserve"> Si el OD se mantiene sostenidamente por encima del óptimo, hay potencial de reducir caudal de aire — los sopladores son típicamente el mayor consumidor eléctrico de la PTAR.</w:t>
      </w:r>
    </w:p>
    <w:p>
      <w:pPr>
        <w:pStyle w:val="ListBullet"/>
        <w:spacing w:after="40"/>
      </w:pPr>
      <w:r>
        <w:rPr>
          <w:b/>
          <w:sz w:val="22"/>
        </w:rPr>
        <w:t>Reactivos químicos:</w:t>
      </w:r>
      <w:r>
        <w:rPr>
          <w:sz w:val="22"/>
        </w:rPr>
        <w:t xml:space="preserve"> Dosificación de químicos correctivos de pH guiada por la tendencia real, no por consignas conservadoras.</w:t>
      </w:r>
    </w:p>
    <w:p>
      <w:pPr>
        <w:pStyle w:val="ListBullet"/>
        <w:spacing w:after="40"/>
      </w:pPr>
      <w:r>
        <w:rPr>
          <w:b/>
          <w:sz w:val="22"/>
        </w:rPr>
        <w:t>Mantenimiento dirigido:</w:t>
      </w:r>
      <w:r>
        <w:rPr>
          <w:sz w:val="22"/>
        </w:rPr>
        <w:t xml:space="preserve"> Mantenimiento predictivo: las desviaciones sostenidas de un transmisor sugieren deriva del sensor y permiten programar calibración antes de que falle.</w:t>
      </w:r>
    </w:p>
    <w:p>
      <w:pPr>
        <w:spacing w:before="200" w:after="80"/>
      </w:pPr>
      <w:r>
        <w:rPr>
          <w:b/>
          <w:color w:val="185FA5"/>
          <w:sz w:val="28"/>
        </w:rPr>
        <w:t xml:space="preserve">5. </w:t>
      </w:r>
      <w:r>
        <w:rPr>
          <w:b/>
          <w:color w:val="185FA5"/>
          <w:sz w:val="28"/>
        </w:rPr>
        <w:t>Plataforma centralizada, multiusuario y multidispositivo</w:t>
      </w:r>
    </w:p>
    <w:p>
      <w:pPr>
        <w:spacing w:after="80" w:line="300" w:lineRule="auto"/>
      </w:pPr>
      <w:r>
        <w:rPr>
          <w:color w:val="000000"/>
          <w:sz w:val="22"/>
        </w:rPr>
        <w:t>Todos los módulos (DQO, pH, OD y los que se incorporen a futuro) viven bajo una sola URL con autenticación por usuario. El gerente ambiental, el jefe de planta y el operador ven la misma información actualizada — sin reportes pegados por correo a fin de mes.</w:t>
      </w:r>
    </w:p>
    <w:p>
      <w:pPr>
        <w:pStyle w:val="ListBullet"/>
        <w:spacing w:after="40"/>
      </w:pPr>
      <w:r>
        <w:rPr>
          <w:b/>
          <w:sz w:val="22"/>
        </w:rPr>
        <w:t>Acceso desde cualquier lugar:</w:t>
      </w:r>
      <w:r>
        <w:rPr>
          <w:sz w:val="22"/>
        </w:rPr>
        <w:t xml:space="preserve"> Encabezado fijo con el reloj, el módulo activo y el usuario logueado; se ve igual en computador de escritorio que en celular en planta.</w:t>
      </w:r>
    </w:p>
    <w:p>
      <w:pPr>
        <w:pStyle w:val="ListBullet"/>
        <w:spacing w:after="40"/>
      </w:pPr>
      <w:r>
        <w:rPr>
          <w:b/>
          <w:sz w:val="22"/>
        </w:rPr>
        <w:t>Análisis cruzado:</w:t>
      </w:r>
      <w:r>
        <w:rPr>
          <w:sz w:val="22"/>
        </w:rPr>
        <w:t xml:space="preserve"> Filtros de tiempo compartidos: el rango seleccionado en un dashboard persiste al navegar a otro, permitiendo análisis cruzado entre parámetros (¿cayó el OD el mismo día que subió la DQO?).</w:t>
      </w:r>
    </w:p>
    <w:p>
      <w:pPr>
        <w:spacing w:before="200" w:after="80"/>
      </w:pPr>
      <w:r>
        <w:rPr>
          <w:b/>
          <w:color w:val="185FA5"/>
          <w:sz w:val="28"/>
        </w:rPr>
        <w:t xml:space="preserve">6. </w:t>
      </w:r>
      <w:r>
        <w:rPr>
          <w:b/>
          <w:color w:val="185FA5"/>
          <w:sz w:val="28"/>
        </w:rPr>
        <w:t>Arquitectura escalable y a prueba de obsolescencia</w:t>
      </w:r>
    </w:p>
    <w:p>
      <w:pPr>
        <w:spacing w:after="80" w:line="300" w:lineRule="auto"/>
      </w:pPr>
      <w:r>
        <w:rPr>
          <w:color w:val="000000"/>
          <w:sz w:val="22"/>
        </w:rPr>
        <w:t>El sistema fue diseñado para crecer sin reescribirse. Cada operación nueva (caudal, sólidos suspendidos, conductividad, nitrógeno, etc.) se incorpora como un módulo independiente que hereda el patrón ya validado: autenticación, filtros, autorefresh y persistencia.</w:t>
      </w:r>
    </w:p>
    <w:p>
      <w:pPr>
        <w:pStyle w:val="ListBullet"/>
        <w:spacing w:after="40"/>
      </w:pPr>
      <w:r>
        <w:rPr>
          <w:b/>
          <w:sz w:val="22"/>
        </w:rPr>
        <w:t>Sin lock-in tecnológico:</w:t>
      </w:r>
      <w:r>
        <w:rPr>
          <w:sz w:val="22"/>
        </w:rPr>
        <w:t xml:space="preserve"> TimescaleDB en contenedor Docker, código en Python con bibliotecas abiertas (Streamlit, Plotly, psycopg2). Sin licencias atadas a proveedores propietarios.</w:t>
      </w:r>
    </w:p>
    <w:p>
      <w:pPr>
        <w:pStyle w:val="ListBullet"/>
        <w:spacing w:after="40"/>
      </w:pPr>
      <w:r>
        <w:rPr>
          <w:b/>
          <w:sz w:val="22"/>
        </w:rPr>
        <w:t>Resiliencia operativa:</w:t>
      </w:r>
      <w:r>
        <w:rPr>
          <w:sz w:val="22"/>
        </w:rPr>
        <w:t xml:space="preserve"> Cada módulo es un microservicio que corre de forma autónoma, así una falla en pH no afecta el monitoreo de DQO ni de OD.</w:t>
      </w:r>
    </w:p>
    <w:p>
      <w:pPr>
        <w:pStyle w:val="ListBullet"/>
        <w:spacing w:after="40"/>
      </w:pPr>
      <w:r>
        <w:rPr>
          <w:b/>
          <w:sz w:val="22"/>
        </w:rPr>
        <w:t>Integración futura:</w:t>
      </w:r>
      <w:r>
        <w:rPr>
          <w:sz w:val="22"/>
        </w:rPr>
        <w:t xml:space="preserve"> El histórico queda en una base estándar SQL; puede integrarse con Power BI, ERP o sistemas SCADA si la empresa lo requiere a futuro.</w:t>
      </w:r>
    </w:p>
    <w:p/>
    <w:p>
      <w:pPr>
        <w:spacing w:before="200" w:after="80"/>
      </w:pPr>
      <w:r>
        <w:rPr>
          <w:b/>
          <w:color w:val="185FA5"/>
          <w:sz w:val="28"/>
        </w:rPr>
        <w:t xml:space="preserve">0. </w:t>
      </w:r>
      <w:r>
        <w:rPr>
          <w:b/>
          <w:color w:val="185FA5"/>
          <w:sz w:val="28"/>
        </w:rPr>
      </w:r>
    </w:p>
    <w:p>
      <w:pPr>
        <w:jc w:val="center"/>
      </w:pPr>
      <w:r>
        <w:rPr>
          <w:b/>
          <w:i/>
          <w:color w:val="185FA5"/>
          <w:sz w:val="22"/>
        </w:rPr>
        <w:t>Implementar este sistema no es un gasto: es un seguro contra sanciones, una herramienta de optimización y una ventaja competitiva frente a auditorías ambientales y clientes que exigen evidencia de gestión responsable del agua.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