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1F995" w14:textId="423703FB" w:rsidR="001150A4" w:rsidRDefault="00912C8E" w:rsidP="001150A4">
      <w:pPr>
        <w:spacing w:beforeLines="1" w:before="2"/>
        <w:rPr>
          <w:rFonts w:ascii="Times New Roman" w:hAnsi="Times New Roman"/>
          <w:szCs w:val="20"/>
        </w:rPr>
      </w:pPr>
      <w:r>
        <w:rPr>
          <w:rFonts w:ascii="Times New Roman" w:hAnsi="Times New Roman"/>
          <w:b/>
        </w:rPr>
        <w:t xml:space="preserve">Monument: </w:t>
      </w:r>
      <w:r w:rsidR="001150A4">
        <w:rPr>
          <w:rFonts w:ascii="Times New Roman" w:hAnsi="Times New Roman"/>
          <w:b/>
        </w:rPr>
        <w:t>(</w:t>
      </w:r>
      <w:r w:rsidR="00366F20" w:rsidRPr="00742EA5">
        <w:rPr>
          <w:rFonts w:ascii="Times New Roman" w:hAnsi="Times New Roman"/>
          <w:b/>
        </w:rPr>
        <w:t>1</w:t>
      </w:r>
      <w:r w:rsidR="00DE34E6">
        <w:rPr>
          <w:rFonts w:ascii="Times New Roman" w:hAnsi="Times New Roman"/>
          <w:b/>
        </w:rPr>
        <w:t>6</w:t>
      </w:r>
      <w:r w:rsidR="001150A4">
        <w:rPr>
          <w:rFonts w:ascii="Times New Roman" w:hAnsi="Times New Roman"/>
          <w:b/>
        </w:rPr>
        <w:t xml:space="preserve">) </w:t>
      </w:r>
      <w:r w:rsidR="00366F20" w:rsidRPr="00742EA5">
        <w:rPr>
          <w:rFonts w:ascii="Times New Roman" w:hAnsi="Times New Roman"/>
          <w:b/>
        </w:rPr>
        <w:t>H</w:t>
      </w:r>
      <w:r w:rsidR="00DE34E6">
        <w:rPr>
          <w:rFonts w:ascii="Times New Roman" w:hAnsi="Times New Roman"/>
          <w:b/>
        </w:rPr>
        <w:t>all of Votive Gifts</w:t>
      </w:r>
    </w:p>
    <w:p w14:paraId="7C5082BF" w14:textId="0081FE9C" w:rsidR="00F66091" w:rsidRDefault="00912C8E" w:rsidP="001150A4">
      <w:pPr>
        <w:spacing w:beforeLines="1" w:before="2"/>
        <w:rPr>
          <w:rFonts w:ascii="Times New Roman" w:hAnsi="Times New Roman"/>
          <w:szCs w:val="20"/>
        </w:rPr>
      </w:pPr>
      <w:r>
        <w:rPr>
          <w:rFonts w:ascii="Times New Roman" w:hAnsi="Times New Roman"/>
        </w:rPr>
        <w:t xml:space="preserve">Date: </w:t>
      </w:r>
      <w:r w:rsidR="00944C2D">
        <w:rPr>
          <w:rFonts w:ascii="Times New Roman" w:hAnsi="Times New Roman"/>
        </w:rPr>
        <w:t>Early Hellenistic Period</w:t>
      </w:r>
    </w:p>
    <w:p w14:paraId="37B4CD60" w14:textId="06DA8F95" w:rsidR="00882256" w:rsidRPr="00742EA5" w:rsidRDefault="00912C8E" w:rsidP="001150A4">
      <w:pPr>
        <w:spacing w:beforeLines="1" w:before="2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Material: </w:t>
      </w:r>
      <w:r w:rsidR="00882256">
        <w:rPr>
          <w:rFonts w:ascii="Times New Roman" w:hAnsi="Times New Roman"/>
          <w:szCs w:val="20"/>
        </w:rPr>
        <w:t>Trachyte, limestone, and basalt</w:t>
      </w:r>
    </w:p>
    <w:p w14:paraId="2E37BC9C" w14:textId="5BC2F8D8" w:rsidR="00F66091" w:rsidRDefault="00912C8E" w:rsidP="001150A4">
      <w:pPr>
        <w:spacing w:beforeLines="1" w:before="2"/>
        <w:rPr>
          <w:rFonts w:ascii="Times New Roman" w:hAnsi="Times New Roman"/>
          <w:szCs w:val="20"/>
        </w:rPr>
      </w:pPr>
      <w:r>
        <w:rPr>
          <w:rFonts w:ascii="Times New Roman" w:hAnsi="Times New Roman"/>
        </w:rPr>
        <w:t xml:space="preserve">Location: </w:t>
      </w:r>
      <w:r w:rsidR="00F66091" w:rsidRPr="00742EA5">
        <w:rPr>
          <w:rFonts w:ascii="Times New Roman" w:hAnsi="Times New Roman"/>
        </w:rPr>
        <w:t xml:space="preserve">Central Sanctuary </w:t>
      </w:r>
      <w:r w:rsidR="00F66091" w:rsidRPr="00742EA5">
        <w:rPr>
          <w:rFonts w:ascii="Times New Roman" w:hAnsi="Times New Roman"/>
          <w:szCs w:val="20"/>
        </w:rPr>
        <w:t> </w:t>
      </w:r>
    </w:p>
    <w:p w14:paraId="2B4B7342" w14:textId="77777777" w:rsidR="001150A4" w:rsidRDefault="001150A4" w:rsidP="001150A4">
      <w:pPr>
        <w:pBdr>
          <w:bottom w:val="single" w:sz="6" w:space="1" w:color="auto"/>
        </w:pBdr>
        <w:spacing w:beforeLines="1" w:before="2"/>
        <w:rPr>
          <w:rFonts w:ascii="Times New Roman" w:hAnsi="Times New Roman"/>
          <w:szCs w:val="20"/>
        </w:rPr>
      </w:pPr>
    </w:p>
    <w:p w14:paraId="08916281" w14:textId="77777777" w:rsidR="001150A4" w:rsidRPr="00742EA5" w:rsidRDefault="001150A4" w:rsidP="001150A4">
      <w:pPr>
        <w:spacing w:beforeLines="1" w:before="2"/>
        <w:rPr>
          <w:rFonts w:ascii="Times New Roman" w:hAnsi="Times New Roman"/>
          <w:szCs w:val="20"/>
        </w:rPr>
      </w:pPr>
    </w:p>
    <w:p w14:paraId="4C7C92D4" w14:textId="77777777" w:rsidR="00535CCB" w:rsidRPr="001150A4" w:rsidRDefault="00535CCB" w:rsidP="001150A4">
      <w:pPr>
        <w:spacing w:beforeLines="1" w:before="2"/>
        <w:ind w:firstLine="720"/>
        <w:rPr>
          <w:rFonts w:ascii="Times New Roman" w:hAnsi="Times New Roman"/>
        </w:rPr>
      </w:pPr>
    </w:p>
    <w:p w14:paraId="6219B00C" w14:textId="1DA3CB30" w:rsidR="00C0660B" w:rsidRDefault="00285C2C" w:rsidP="00535CCB">
      <w:pPr>
        <w:spacing w:beforeLines="1" w:before="2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1F074F7" wp14:editId="47200D46">
            <wp:extent cx="2514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C5">
        <w:rPr>
          <w:rFonts w:ascii="Times New Roman" w:hAnsi="Times New Roman"/>
        </w:rPr>
        <w:t xml:space="preserve">  </w:t>
      </w:r>
      <w:r w:rsidR="003422C5">
        <w:rPr>
          <w:rFonts w:ascii="Times New Roman" w:hAnsi="Times New Roman"/>
          <w:noProof/>
        </w:rPr>
        <w:drawing>
          <wp:inline distT="0" distB="0" distL="0" distR="0" wp14:anchorId="2093717C" wp14:editId="524ACD3D">
            <wp:extent cx="3337560" cy="33555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3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9ED2" w14:textId="7FD44012" w:rsidR="00535CCB" w:rsidRPr="00535CCB" w:rsidRDefault="009139E6" w:rsidP="00535CCB">
      <w:pPr>
        <w:spacing w:beforeLines="1" w:before="2"/>
        <w:rPr>
          <w:rFonts w:ascii="Times New Roman" w:hAnsi="Times New Roman"/>
          <w:iCs/>
        </w:rPr>
      </w:pPr>
      <w:r>
        <w:rPr>
          <w:rFonts w:ascii="Times New Roman" w:hAnsi="Times New Roman"/>
        </w:rPr>
        <w:t>Caption:</w:t>
      </w:r>
      <w:r w:rsidR="00C0660B">
        <w:rPr>
          <w:rFonts w:ascii="Times New Roman" w:hAnsi="Times New Roman"/>
        </w:rPr>
        <w:t xml:space="preserve"> </w:t>
      </w:r>
      <w:r w:rsidR="00535CCB">
        <w:rPr>
          <w:rFonts w:ascii="Times New Roman" w:hAnsi="Times New Roman"/>
        </w:rPr>
        <w:t xml:space="preserve">(Left) View of the </w:t>
      </w:r>
      <w:r w:rsidR="00DE34E6">
        <w:rPr>
          <w:rFonts w:ascii="Times New Roman" w:hAnsi="Times New Roman"/>
        </w:rPr>
        <w:t>foundations of the Hall of Votive Gifts</w:t>
      </w:r>
      <w:r w:rsidR="00535CCB">
        <w:rPr>
          <w:rFonts w:ascii="Times New Roman" w:hAnsi="Times New Roman"/>
        </w:rPr>
        <w:t xml:space="preserve"> (Right) </w:t>
      </w:r>
      <w:r w:rsidR="00DE34E6">
        <w:rPr>
          <w:rFonts w:ascii="Times New Roman" w:hAnsi="Times New Roman"/>
        </w:rPr>
        <w:t>Reconstructed plan</w:t>
      </w:r>
      <w:r w:rsidR="003422C5">
        <w:rPr>
          <w:rFonts w:ascii="Times New Roman" w:hAnsi="Times New Roman"/>
        </w:rPr>
        <w:t xml:space="preserve"> of area around the Hall of Votive Gifts (16)</w:t>
      </w:r>
      <w:r w:rsidR="005E5800">
        <w:rPr>
          <w:rFonts w:ascii="Times New Roman" w:hAnsi="Times New Roman"/>
        </w:rPr>
        <w:t>.</w:t>
      </w:r>
      <w:r w:rsidR="00535CCB">
        <w:rPr>
          <w:rFonts w:ascii="Times New Roman" w:hAnsi="Times New Roman"/>
        </w:rPr>
        <w:t xml:space="preserve"> </w:t>
      </w:r>
      <w:r w:rsidR="00535CCB" w:rsidRPr="00535CCB">
        <w:rPr>
          <w:rFonts w:ascii="Times New Roman" w:hAnsi="Times New Roman"/>
          <w:iCs/>
        </w:rPr>
        <w:t>© American Excavations Samothrace</w:t>
      </w:r>
    </w:p>
    <w:p w14:paraId="6A708553" w14:textId="77777777" w:rsidR="00535CCB" w:rsidRPr="001150A4" w:rsidRDefault="00535CCB" w:rsidP="00535CCB">
      <w:pPr>
        <w:spacing w:beforeLines="1" w:before="2"/>
        <w:rPr>
          <w:rFonts w:ascii="Times New Roman" w:hAnsi="Times New Roman"/>
        </w:rPr>
      </w:pPr>
    </w:p>
    <w:p w14:paraId="79B7B357" w14:textId="77777777" w:rsidR="006134AE" w:rsidRPr="006134AE" w:rsidRDefault="006134AE" w:rsidP="006134AE">
      <w:pPr>
        <w:spacing w:beforeLines="1" w:before="2"/>
        <w:rPr>
          <w:rFonts w:ascii="Times New Roman" w:hAnsi="Times New Roman"/>
        </w:rPr>
      </w:pPr>
      <w:r w:rsidRPr="006134AE">
        <w:rPr>
          <w:rFonts w:ascii="Times New Roman" w:hAnsi="Times New Roman"/>
        </w:rPr>
        <w:t xml:space="preserve">The building known as the Hall of Votive Gifts stands to the west of the </w:t>
      </w:r>
      <w:proofErr w:type="spellStart"/>
      <w:r w:rsidRPr="006134AE">
        <w:rPr>
          <w:rFonts w:ascii="Times New Roman" w:hAnsi="Times New Roman"/>
        </w:rPr>
        <w:t>Hieron</w:t>
      </w:r>
      <w:proofErr w:type="spellEnd"/>
      <w:r w:rsidRPr="006134AE">
        <w:rPr>
          <w:rFonts w:ascii="Times New Roman" w:hAnsi="Times New Roman"/>
        </w:rPr>
        <w:t xml:space="preserve"> and north of the Altar Court.  The three buildings are aligned with one another to form a tight cluster.  The excavator, Karl Lehmann, interpreted the building as an </w:t>
      </w:r>
      <w:r w:rsidR="00FF6DAC">
        <w:rPr>
          <w:rFonts w:ascii="Times New Roman" w:hAnsi="Times New Roman"/>
        </w:rPr>
        <w:t>A</w:t>
      </w:r>
      <w:r w:rsidRPr="006134AE">
        <w:rPr>
          <w:rFonts w:ascii="Times New Roman" w:hAnsi="Times New Roman"/>
        </w:rPr>
        <w:t xml:space="preserve">rchaic structure used for the display of votives </w:t>
      </w:r>
      <w:r w:rsidR="00944C2D">
        <w:rPr>
          <w:rFonts w:ascii="Times New Roman" w:hAnsi="Times New Roman"/>
        </w:rPr>
        <w:t xml:space="preserve">dedicated </w:t>
      </w:r>
      <w:r w:rsidRPr="006134AE">
        <w:rPr>
          <w:rFonts w:ascii="Times New Roman" w:hAnsi="Times New Roman"/>
        </w:rPr>
        <w:t>to the Great Gods. </w:t>
      </w:r>
      <w:r w:rsidR="004E65DD">
        <w:rPr>
          <w:rFonts w:ascii="Times New Roman" w:hAnsi="Times New Roman"/>
        </w:rPr>
        <w:t>Closer investigation has revealed, however, that the 6</w:t>
      </w:r>
      <w:r w:rsidR="004E65DD" w:rsidRPr="004E65DD">
        <w:rPr>
          <w:rFonts w:ascii="Times New Roman" w:hAnsi="Times New Roman"/>
          <w:vertAlign w:val="superscript"/>
        </w:rPr>
        <w:t>th</w:t>
      </w:r>
      <w:r w:rsidR="004E65DD">
        <w:rPr>
          <w:rFonts w:ascii="Times New Roman" w:hAnsi="Times New Roman"/>
        </w:rPr>
        <w:t xml:space="preserve"> century B.C. architectural elements that Lehmann observed were in fact cut and reused in the Hall of Votive Gifts from earlier, unidentified buildings. </w:t>
      </w:r>
      <w:r w:rsidRPr="006134AE">
        <w:rPr>
          <w:rFonts w:ascii="Times New Roman" w:hAnsi="Times New Roman"/>
        </w:rPr>
        <w:t>Georges Roux has proposed that the structure served as a dining hall.  The building is currently under reinvestigation.</w:t>
      </w:r>
    </w:p>
    <w:p w14:paraId="176809EB" w14:textId="77777777" w:rsidR="00535CCB" w:rsidRDefault="00535CCB" w:rsidP="00535CCB">
      <w:pPr>
        <w:spacing w:beforeLines="1" w:before="2"/>
        <w:rPr>
          <w:rFonts w:ascii="Times New Roman" w:hAnsi="Times New Roman"/>
        </w:rPr>
      </w:pPr>
    </w:p>
    <w:p w14:paraId="4ED65FA7" w14:textId="702E23AD" w:rsidR="00BB6860" w:rsidRDefault="00BB6860" w:rsidP="00535CC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2FC0FD8" wp14:editId="1F618145">
            <wp:extent cx="2743200" cy="148424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7D9">
        <w:rPr>
          <w:rFonts w:ascii="Times New Roman" w:hAnsi="Times New Roman"/>
        </w:rPr>
        <w:t xml:space="preserve"> </w:t>
      </w:r>
      <w:r w:rsidR="00ED57D9">
        <w:rPr>
          <w:rFonts w:ascii="Times New Roman" w:hAnsi="Times New Roman"/>
          <w:noProof/>
        </w:rPr>
        <w:drawing>
          <wp:inline distT="0" distB="0" distL="0" distR="0" wp14:anchorId="090ACFF8" wp14:editId="3B787DEA">
            <wp:extent cx="3063240" cy="14746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3325" r="1164" b="2362"/>
                    <a:stretch/>
                  </pic:blipFill>
                  <pic:spPr bwMode="auto">
                    <a:xfrm>
                      <a:off x="0" y="0"/>
                      <a:ext cx="3063240" cy="147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6454" w14:textId="35501801" w:rsidR="00535CCB" w:rsidRPr="00CD52A6" w:rsidRDefault="00A71856" w:rsidP="00535CCB">
      <w:pPr>
        <w:rPr>
          <w:rFonts w:ascii="Times New Roman" w:eastAsia="Times New Roman" w:hAnsi="Times New Roman"/>
          <w:iCs/>
        </w:rPr>
      </w:pPr>
      <w:r>
        <w:rPr>
          <w:rFonts w:ascii="Times New Roman" w:hAnsi="Times New Roman"/>
        </w:rPr>
        <w:lastRenderedPageBreak/>
        <w:t xml:space="preserve">Caption: </w:t>
      </w:r>
      <w:r w:rsidR="00C302B8">
        <w:rPr>
          <w:rFonts w:ascii="Times New Roman" w:hAnsi="Times New Roman"/>
        </w:rPr>
        <w:t xml:space="preserve">(Left) </w:t>
      </w:r>
      <w:r w:rsidR="00BB6860">
        <w:rPr>
          <w:rFonts w:ascii="Times New Roman" w:hAnsi="Times New Roman"/>
        </w:rPr>
        <w:t>Plan of the Hall of Votive Gifts</w:t>
      </w:r>
      <w:r w:rsidR="00C302B8">
        <w:rPr>
          <w:rFonts w:ascii="Times New Roman" w:hAnsi="Times New Roman"/>
        </w:rPr>
        <w:t xml:space="preserve"> (Right) Reconstructed view of the Hall of Votive Gifts</w:t>
      </w:r>
      <w:r w:rsidR="00BB6860">
        <w:rPr>
          <w:rFonts w:ascii="Times New Roman" w:hAnsi="Times New Roman"/>
        </w:rPr>
        <w:t>.</w:t>
      </w:r>
      <w:r w:rsidR="00535CCB">
        <w:rPr>
          <w:rFonts w:ascii="Times New Roman" w:hAnsi="Times New Roman"/>
        </w:rPr>
        <w:t xml:space="preserve"> </w:t>
      </w:r>
      <w:r w:rsidR="00535CCB" w:rsidRPr="00CD52A6">
        <w:rPr>
          <w:rFonts w:ascii="Times New Roman" w:eastAsia="Times New Roman" w:hAnsi="Times New Roman"/>
          <w:iCs/>
        </w:rPr>
        <w:t>© American Excavations Samothrace</w:t>
      </w:r>
    </w:p>
    <w:p w14:paraId="65CDDEE1" w14:textId="77777777" w:rsidR="00535CCB" w:rsidRDefault="00535CCB" w:rsidP="00535CCB">
      <w:pPr>
        <w:spacing w:beforeLines="1" w:before="2"/>
        <w:rPr>
          <w:rFonts w:ascii="Times New Roman" w:hAnsi="Times New Roman"/>
        </w:rPr>
      </w:pPr>
    </w:p>
    <w:p w14:paraId="25EC3B07" w14:textId="77777777" w:rsidR="00DE34E6" w:rsidRDefault="006134AE" w:rsidP="00FF6DAC">
      <w:pPr>
        <w:spacing w:beforeLines="1" w:before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Austrian excavators uncovered the northeast corner of the Hall of Votive Gifts during their investigations into the </w:t>
      </w:r>
      <w:proofErr w:type="spellStart"/>
      <w:r>
        <w:rPr>
          <w:rFonts w:ascii="Times New Roman" w:hAnsi="Times New Roman"/>
        </w:rPr>
        <w:t>Hieron</w:t>
      </w:r>
      <w:proofErr w:type="spellEnd"/>
      <w:r>
        <w:rPr>
          <w:rFonts w:ascii="Times New Roman" w:hAnsi="Times New Roman"/>
        </w:rPr>
        <w:t xml:space="preserve"> in 187</w:t>
      </w:r>
      <w:r w:rsidR="00FF6DAC">
        <w:rPr>
          <w:rFonts w:ascii="Times New Roman" w:hAnsi="Times New Roman"/>
        </w:rPr>
        <w:t>5</w:t>
      </w:r>
      <w:r w:rsidR="00944C2D">
        <w:rPr>
          <w:rFonts w:ascii="Times New Roman" w:hAnsi="Times New Roman"/>
        </w:rPr>
        <w:t>, but it remained mostly hidden</w:t>
      </w:r>
      <w:r w:rsidR="00FF6DAC">
        <w:rPr>
          <w:rFonts w:ascii="Times New Roman" w:hAnsi="Times New Roman"/>
        </w:rPr>
        <w:t xml:space="preserve">. In 1951 and 1952, the American team excavated in the area west of the </w:t>
      </w:r>
      <w:proofErr w:type="spellStart"/>
      <w:r w:rsidR="00FF6DAC">
        <w:rPr>
          <w:rFonts w:ascii="Times New Roman" w:hAnsi="Times New Roman"/>
        </w:rPr>
        <w:t>Hieron</w:t>
      </w:r>
      <w:proofErr w:type="spellEnd"/>
      <w:r w:rsidR="00FF6DAC">
        <w:rPr>
          <w:rFonts w:ascii="Times New Roman" w:hAnsi="Times New Roman"/>
        </w:rPr>
        <w:t xml:space="preserve"> and uncovered the foundations of the building. </w:t>
      </w:r>
    </w:p>
    <w:p w14:paraId="72A1347C" w14:textId="77777777" w:rsidR="00F66091" w:rsidRPr="00742EA5" w:rsidRDefault="00F66091" w:rsidP="001150A4">
      <w:pPr>
        <w:spacing w:beforeLines="1" w:before="2"/>
        <w:rPr>
          <w:rFonts w:ascii="Times New Roman" w:hAnsi="Times New Roman"/>
          <w:szCs w:val="20"/>
        </w:rPr>
      </w:pPr>
    </w:p>
    <w:p w14:paraId="2D677B0D" w14:textId="77777777" w:rsidR="00F66091" w:rsidRDefault="00F66091" w:rsidP="001150A4">
      <w:pPr>
        <w:spacing w:beforeLines="1" w:before="2"/>
        <w:rPr>
          <w:rFonts w:ascii="Times New Roman" w:hAnsi="Times New Roman"/>
          <w:szCs w:val="20"/>
        </w:rPr>
      </w:pPr>
    </w:p>
    <w:p w14:paraId="75E85AE4" w14:textId="77777777" w:rsidR="00F66091" w:rsidRPr="00742EA5" w:rsidRDefault="008A59E1" w:rsidP="001150A4">
      <w:pPr>
        <w:spacing w:beforeLines="1" w:before="2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Selected </w:t>
      </w:r>
      <w:r w:rsidR="00F66091" w:rsidRPr="00742EA5">
        <w:rPr>
          <w:rFonts w:ascii="Times New Roman" w:hAnsi="Times New Roman"/>
          <w:szCs w:val="20"/>
        </w:rPr>
        <w:t>Bibliography</w:t>
      </w:r>
      <w:r>
        <w:rPr>
          <w:rFonts w:ascii="Times New Roman" w:hAnsi="Times New Roman"/>
          <w:szCs w:val="20"/>
        </w:rPr>
        <w:t>:</w:t>
      </w:r>
    </w:p>
    <w:p w14:paraId="6DF3CD5E" w14:textId="77777777" w:rsidR="00F66091" w:rsidRPr="00742EA5" w:rsidRDefault="00F66091" w:rsidP="001150A4">
      <w:pPr>
        <w:spacing w:beforeLines="1" w:before="2"/>
        <w:rPr>
          <w:rFonts w:ascii="Times New Roman" w:hAnsi="Times New Roman"/>
          <w:szCs w:val="20"/>
        </w:rPr>
      </w:pPr>
    </w:p>
    <w:p w14:paraId="3D1A88C2" w14:textId="77777777" w:rsidR="008A59E1" w:rsidRPr="008A59E1" w:rsidRDefault="008A59E1" w:rsidP="008A59E1">
      <w:pPr>
        <w:ind w:left="720" w:hanging="720"/>
        <w:rPr>
          <w:rFonts w:ascii="Times New Roman" w:hAnsi="Times New Roman"/>
        </w:rPr>
      </w:pPr>
      <w:r w:rsidRPr="008A59E1">
        <w:rPr>
          <w:rFonts w:ascii="Times New Roman" w:hAnsi="Times New Roman"/>
        </w:rPr>
        <w:t>Lehmann, K. 1998. </w:t>
      </w:r>
      <w:r w:rsidRPr="008A59E1">
        <w:rPr>
          <w:rFonts w:ascii="Times New Roman" w:hAnsi="Times New Roman"/>
          <w:i/>
          <w:iCs/>
          <w:color w:val="000000"/>
        </w:rPr>
        <w:t>Samothrace: A Guide to the Excavations and the Museum</w:t>
      </w:r>
      <w:r w:rsidRPr="008A59E1">
        <w:rPr>
          <w:rFonts w:ascii="Times New Roman" w:hAnsi="Times New Roman"/>
          <w:color w:val="000000"/>
        </w:rPr>
        <w:t xml:space="preserve">, </w:t>
      </w:r>
      <w:r w:rsidRPr="000B5081">
        <w:rPr>
          <w:rFonts w:ascii="Times New Roman" w:hAnsi="Times New Roman"/>
        </w:rPr>
        <w:t>6th ed., rev. J.R. McCredie, Thessaloniki</w:t>
      </w:r>
      <w:r w:rsidRPr="00EA19C3">
        <w:rPr>
          <w:rFonts w:ascii="Times New Roman" w:hAnsi="Times New Roman"/>
        </w:rPr>
        <w:t xml:space="preserve">, </w:t>
      </w:r>
      <w:r w:rsidRPr="008A59E1">
        <w:rPr>
          <w:rFonts w:ascii="Times New Roman" w:hAnsi="Times New Roman"/>
        </w:rPr>
        <w:t>pp.</w:t>
      </w:r>
      <w:r w:rsidR="004E65DD">
        <w:rPr>
          <w:rFonts w:ascii="Times New Roman" w:hAnsi="Times New Roman"/>
        </w:rPr>
        <w:t xml:space="preserve"> 66-67.</w:t>
      </w:r>
    </w:p>
    <w:p w14:paraId="3DFD4CD3" w14:textId="77777777" w:rsidR="008A59E1" w:rsidRPr="008A59E1" w:rsidRDefault="008A59E1" w:rsidP="008A59E1">
      <w:pPr>
        <w:ind w:left="720" w:hanging="720"/>
        <w:rPr>
          <w:rFonts w:ascii="Times New Roman" w:hAnsi="Times New Roman"/>
        </w:rPr>
      </w:pPr>
      <w:r w:rsidRPr="008A59E1">
        <w:rPr>
          <w:rFonts w:ascii="Times New Roman" w:hAnsi="Times New Roman"/>
        </w:rPr>
        <w:t xml:space="preserve">Lehmann, </w:t>
      </w:r>
      <w:r w:rsidR="00DE34E6">
        <w:rPr>
          <w:rFonts w:ascii="Times New Roman" w:hAnsi="Times New Roman"/>
        </w:rPr>
        <w:t>K</w:t>
      </w:r>
      <w:r w:rsidRPr="008A59E1">
        <w:rPr>
          <w:rFonts w:ascii="Times New Roman" w:hAnsi="Times New Roman"/>
        </w:rPr>
        <w:t>.</w:t>
      </w:r>
      <w:r w:rsidR="00DE34E6">
        <w:rPr>
          <w:rFonts w:ascii="Times New Roman" w:hAnsi="Times New Roman"/>
        </w:rPr>
        <w:t xml:space="preserve"> and P. W. Lehmann.</w:t>
      </w:r>
      <w:r w:rsidRPr="008A59E1">
        <w:rPr>
          <w:rFonts w:ascii="Times New Roman" w:hAnsi="Times New Roman"/>
        </w:rPr>
        <w:t xml:space="preserve"> 196</w:t>
      </w:r>
      <w:r w:rsidR="00DE34E6">
        <w:rPr>
          <w:rFonts w:ascii="Times New Roman" w:hAnsi="Times New Roman"/>
        </w:rPr>
        <w:t>2</w:t>
      </w:r>
      <w:r w:rsidRPr="008A59E1">
        <w:rPr>
          <w:rFonts w:ascii="Times New Roman" w:hAnsi="Times New Roman"/>
        </w:rPr>
        <w:t>. </w:t>
      </w:r>
      <w:r w:rsidRPr="008A59E1">
        <w:rPr>
          <w:rFonts w:ascii="Times New Roman" w:hAnsi="Times New Roman"/>
          <w:i/>
          <w:iCs/>
        </w:rPr>
        <w:t>Samothrac</w:t>
      </w:r>
      <w:r w:rsidR="00473C86">
        <w:rPr>
          <w:rFonts w:ascii="Times New Roman" w:hAnsi="Times New Roman"/>
          <w:i/>
          <w:iCs/>
        </w:rPr>
        <w:t>e,</w:t>
      </w:r>
      <w:r w:rsidRPr="008A59E1">
        <w:rPr>
          <w:rFonts w:ascii="Times New Roman" w:hAnsi="Times New Roman"/>
          <w:i/>
          <w:iCs/>
        </w:rPr>
        <w:t xml:space="preserve"> Excavations Conducted by the Institute of Fine Arts of New York University</w:t>
      </w:r>
      <w:r w:rsidRPr="008A59E1">
        <w:rPr>
          <w:rFonts w:ascii="Times New Roman" w:hAnsi="Times New Roman"/>
        </w:rPr>
        <w:t xml:space="preserve">. Vol. </w:t>
      </w:r>
      <w:proofErr w:type="gramStart"/>
      <w:r w:rsidR="00DE34E6">
        <w:rPr>
          <w:rFonts w:ascii="Times New Roman" w:hAnsi="Times New Roman"/>
        </w:rPr>
        <w:t>4,I</w:t>
      </w:r>
      <w:proofErr w:type="gramEnd"/>
      <w:r w:rsidR="00473C86">
        <w:rPr>
          <w:rFonts w:ascii="Times New Roman" w:hAnsi="Times New Roman"/>
          <w:i/>
          <w:iCs/>
        </w:rPr>
        <w:t>,</w:t>
      </w:r>
      <w:r w:rsidRPr="008A59E1">
        <w:rPr>
          <w:rFonts w:ascii="Times New Roman" w:hAnsi="Times New Roman"/>
          <w:i/>
          <w:iCs/>
        </w:rPr>
        <w:t xml:space="preserve"> The H</w:t>
      </w:r>
      <w:r w:rsidR="00DE34E6">
        <w:rPr>
          <w:rFonts w:ascii="Times New Roman" w:hAnsi="Times New Roman"/>
          <w:i/>
          <w:iCs/>
        </w:rPr>
        <w:t>all of Votive Gifts</w:t>
      </w:r>
      <w:r w:rsidR="007961C5" w:rsidRPr="007961C5">
        <w:rPr>
          <w:rFonts w:ascii="Times New Roman" w:hAnsi="Times New Roman"/>
        </w:rPr>
        <w:t xml:space="preserve">, </w:t>
      </w:r>
      <w:r w:rsidR="00DE34E6">
        <w:rPr>
          <w:rFonts w:ascii="Times New Roman" w:hAnsi="Times New Roman"/>
        </w:rPr>
        <w:t>New York</w:t>
      </w:r>
      <w:r w:rsidRPr="008A59E1">
        <w:rPr>
          <w:rFonts w:ascii="Times New Roman" w:hAnsi="Times New Roman"/>
        </w:rPr>
        <w:t>.</w:t>
      </w:r>
    </w:p>
    <w:p w14:paraId="39790608" w14:textId="77777777" w:rsidR="00F66091" w:rsidRDefault="00F66091" w:rsidP="001150A4"/>
    <w:sectPr w:rsidR="00F66091" w:rsidSect="00F6609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C3"/>
    <w:rsid w:val="001150A4"/>
    <w:rsid w:val="00285C2C"/>
    <w:rsid w:val="003422C5"/>
    <w:rsid w:val="00366F20"/>
    <w:rsid w:val="00473C86"/>
    <w:rsid w:val="004E65DD"/>
    <w:rsid w:val="00535CCB"/>
    <w:rsid w:val="00544906"/>
    <w:rsid w:val="00550871"/>
    <w:rsid w:val="005E5800"/>
    <w:rsid w:val="006134AE"/>
    <w:rsid w:val="007961C5"/>
    <w:rsid w:val="00870CA4"/>
    <w:rsid w:val="00882256"/>
    <w:rsid w:val="008A59E1"/>
    <w:rsid w:val="00912C8E"/>
    <w:rsid w:val="009139E6"/>
    <w:rsid w:val="00944C2D"/>
    <w:rsid w:val="00A04CE4"/>
    <w:rsid w:val="00A71856"/>
    <w:rsid w:val="00A81FBB"/>
    <w:rsid w:val="00B5321F"/>
    <w:rsid w:val="00BB6860"/>
    <w:rsid w:val="00C0660B"/>
    <w:rsid w:val="00C2647F"/>
    <w:rsid w:val="00C302B8"/>
    <w:rsid w:val="00D633C3"/>
    <w:rsid w:val="00DE34E6"/>
    <w:rsid w:val="00E57408"/>
    <w:rsid w:val="00ED57D9"/>
    <w:rsid w:val="00F66091"/>
    <w:rsid w:val="00FB2B2A"/>
    <w:rsid w:val="00FF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F2D4E7"/>
  <w15:chartTrackingRefBased/>
  <w15:docId w15:val="{F224688A-D34A-F846-B2E3-144052754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379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D633C3"/>
    <w:rPr>
      <w:b/>
    </w:rPr>
  </w:style>
  <w:style w:type="character" w:customStyle="1" w:styleId="apple-style-span">
    <w:name w:val="apple-style-span"/>
    <w:basedOn w:val="DefaultParagraphFont"/>
    <w:rsid w:val="00D633C3"/>
  </w:style>
  <w:style w:type="character" w:styleId="Emphasis">
    <w:name w:val="Emphasis"/>
    <w:uiPriority w:val="20"/>
    <w:qFormat/>
    <w:rsid w:val="00D633C3"/>
    <w:rPr>
      <w:i/>
    </w:rPr>
  </w:style>
  <w:style w:type="character" w:styleId="CommentReference">
    <w:name w:val="annotation reference"/>
    <w:uiPriority w:val="99"/>
    <w:semiHidden/>
    <w:unhideWhenUsed/>
    <w:rsid w:val="000C08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08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085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085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C085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8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C085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150A4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150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57A080F54CC4081D03656AE4E75F9" ma:contentTypeVersion="16" ma:contentTypeDescription="Create a new document." ma:contentTypeScope="" ma:versionID="6840a70f35c58b070eae7bfde88ebce2">
  <xsd:schema xmlns:xsd="http://www.w3.org/2001/XMLSchema" xmlns:xs="http://www.w3.org/2001/XMLSchema" xmlns:p="http://schemas.microsoft.com/office/2006/metadata/properties" xmlns:ns2="5db3368f-f7fa-451a-9f6b-e714cdee5798" xmlns:ns3="b6d389b3-efea-4712-8c20-51fe21ef2d15" targetNamespace="http://schemas.microsoft.com/office/2006/metadata/properties" ma:root="true" ma:fieldsID="cc01dde5c0cc77ac3f1ff78bfc571580" ns2:_="" ns3:_="">
    <xsd:import namespace="5db3368f-f7fa-451a-9f6b-e714cdee5798"/>
    <xsd:import namespace="b6d389b3-efea-4712-8c20-51fe21ef2d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3368f-f7fa-451a-9f6b-e714cdee57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992fa3da-db31-45ba-92de-38f16e295a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389b3-efea-4712-8c20-51fe21ef2d1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3e76392-76f2-4356-a997-de7a4819ad75}" ma:internalName="TaxCatchAll" ma:showField="CatchAllData" ma:web="b6d389b3-efea-4712-8c20-51fe21ef2d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025C5B-7AC6-4033-BD25-23614A8C11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BECB4C-0148-4631-8527-BA972E3B9E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3368f-f7fa-451a-9f6b-e714cdee5798"/>
    <ds:schemaRef ds:uri="b6d389b3-efea-4712-8c20-51fe21ef2d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15            Hieron</vt:lpstr>
    </vt:vector>
  </TitlesOfParts>
  <Company>Emory University</Company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            Hieron</dc:title>
  <dc:subject/>
  <dc:creator>commons</dc:creator>
  <cp:keywords/>
  <cp:lastModifiedBy>Jared Gingrich</cp:lastModifiedBy>
  <cp:revision>9</cp:revision>
  <cp:lastPrinted>2009-12-03T23:00:00Z</cp:lastPrinted>
  <dcterms:created xsi:type="dcterms:W3CDTF">2023-02-10T18:08:00Z</dcterms:created>
  <dcterms:modified xsi:type="dcterms:W3CDTF">2023-03-23T14:10:00Z</dcterms:modified>
</cp:coreProperties>
</file>