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5EEDC" w14:textId="433959AB" w:rsidR="00634CBB" w:rsidRPr="00EA19C3" w:rsidRDefault="00634CBB" w:rsidP="00634CBB">
      <w:pPr>
        <w:rPr>
          <w:rFonts w:ascii="Times New Roman" w:hAnsi="Times New Roman" w:cs="Times New Roman"/>
          <w:sz w:val="24"/>
          <w:szCs w:val="24"/>
        </w:rPr>
      </w:pPr>
    </w:p>
    <w:p w14:paraId="0A31D6C2" w14:textId="5D03CC3F" w:rsidR="00634CBB" w:rsidRPr="00EA19C3" w:rsidRDefault="00E811D5" w:rsidP="00634CBB">
      <w:pPr>
        <w:rPr>
          <w:rFonts w:ascii="Times New Roman" w:hAnsi="Times New Roman" w:cs="Times New Roman"/>
          <w:b/>
          <w:bCs/>
          <w:sz w:val="24"/>
          <w:szCs w:val="24"/>
        </w:rPr>
      </w:pPr>
      <w:r>
        <w:rPr>
          <w:rFonts w:ascii="Times New Roman" w:hAnsi="Times New Roman" w:cs="Times New Roman"/>
          <w:b/>
          <w:bCs/>
          <w:sz w:val="24"/>
          <w:szCs w:val="24"/>
        </w:rPr>
        <w:t xml:space="preserve">Monument: </w:t>
      </w:r>
      <w:r w:rsidR="00634CBB" w:rsidRPr="00EA19C3">
        <w:rPr>
          <w:rFonts w:ascii="Times New Roman" w:hAnsi="Times New Roman" w:cs="Times New Roman"/>
          <w:b/>
          <w:bCs/>
          <w:sz w:val="24"/>
          <w:szCs w:val="24"/>
        </w:rPr>
        <w:t>(</w:t>
      </w:r>
      <w:r w:rsidR="000E49B8">
        <w:rPr>
          <w:rFonts w:ascii="Times New Roman" w:hAnsi="Times New Roman" w:cs="Times New Roman"/>
          <w:b/>
          <w:bCs/>
          <w:sz w:val="24"/>
          <w:szCs w:val="24"/>
        </w:rPr>
        <w:t>6</w:t>
      </w:r>
      <w:r w:rsidR="00262D99" w:rsidRPr="00EA19C3">
        <w:rPr>
          <w:rFonts w:ascii="Times New Roman" w:hAnsi="Times New Roman" w:cs="Times New Roman"/>
          <w:b/>
          <w:bCs/>
          <w:sz w:val="24"/>
          <w:szCs w:val="24"/>
        </w:rPr>
        <w:t>)</w:t>
      </w:r>
      <w:r w:rsidR="00634CBB" w:rsidRPr="00EA19C3">
        <w:rPr>
          <w:rFonts w:ascii="Times New Roman" w:hAnsi="Times New Roman" w:cs="Times New Roman"/>
          <w:b/>
          <w:bCs/>
          <w:sz w:val="24"/>
          <w:szCs w:val="24"/>
        </w:rPr>
        <w:t xml:space="preserve"> </w:t>
      </w:r>
      <w:r w:rsidR="000E49B8">
        <w:rPr>
          <w:rFonts w:ascii="Times New Roman" w:hAnsi="Times New Roman" w:cs="Times New Roman"/>
          <w:b/>
          <w:bCs/>
          <w:sz w:val="24"/>
          <w:szCs w:val="24"/>
        </w:rPr>
        <w:t xml:space="preserve">Banqueting Hall dedicated by a Woman from </w:t>
      </w:r>
      <w:proofErr w:type="spellStart"/>
      <w:r w:rsidR="000E49B8">
        <w:rPr>
          <w:rFonts w:ascii="Times New Roman" w:hAnsi="Times New Roman" w:cs="Times New Roman"/>
          <w:b/>
          <w:bCs/>
          <w:sz w:val="24"/>
          <w:szCs w:val="24"/>
        </w:rPr>
        <w:t>Miletos</w:t>
      </w:r>
      <w:proofErr w:type="spellEnd"/>
    </w:p>
    <w:p w14:paraId="4ABC2FB3" w14:textId="03EB2323" w:rsidR="00262D99" w:rsidRPr="00EA19C3" w:rsidRDefault="00E811D5" w:rsidP="00262D99">
      <w:pPr>
        <w:rPr>
          <w:rFonts w:ascii="Times New Roman" w:hAnsi="Times New Roman" w:cs="Times New Roman"/>
          <w:sz w:val="24"/>
          <w:szCs w:val="24"/>
        </w:rPr>
      </w:pPr>
      <w:r>
        <w:rPr>
          <w:rFonts w:ascii="Times New Roman" w:hAnsi="Times New Roman" w:cs="Times New Roman"/>
          <w:sz w:val="24"/>
          <w:szCs w:val="24"/>
        </w:rPr>
        <w:t xml:space="preserve">Date: </w:t>
      </w:r>
      <w:r w:rsidR="000E49B8">
        <w:rPr>
          <w:rFonts w:ascii="Times New Roman" w:hAnsi="Times New Roman" w:cs="Times New Roman"/>
          <w:sz w:val="24"/>
          <w:szCs w:val="24"/>
        </w:rPr>
        <w:t>Second half of the 3</w:t>
      </w:r>
      <w:r w:rsidR="000E49B8" w:rsidRPr="000E49B8">
        <w:rPr>
          <w:rFonts w:ascii="Times New Roman" w:hAnsi="Times New Roman" w:cs="Times New Roman"/>
          <w:sz w:val="24"/>
          <w:szCs w:val="24"/>
          <w:vertAlign w:val="superscript"/>
        </w:rPr>
        <w:t>rd</w:t>
      </w:r>
      <w:r w:rsidR="000E49B8">
        <w:rPr>
          <w:rFonts w:ascii="Times New Roman" w:hAnsi="Times New Roman" w:cs="Times New Roman"/>
          <w:sz w:val="24"/>
          <w:szCs w:val="24"/>
        </w:rPr>
        <w:t xml:space="preserve"> century B.C.</w:t>
      </w:r>
    </w:p>
    <w:p w14:paraId="25197CEA" w14:textId="302F984A" w:rsidR="00C61002" w:rsidRPr="00EA19C3" w:rsidRDefault="00E811D5" w:rsidP="00262D99">
      <w:pPr>
        <w:rPr>
          <w:rFonts w:ascii="Times New Roman" w:hAnsi="Times New Roman" w:cs="Times New Roman"/>
          <w:sz w:val="24"/>
          <w:szCs w:val="24"/>
        </w:rPr>
      </w:pPr>
      <w:r>
        <w:rPr>
          <w:rFonts w:ascii="Times New Roman" w:hAnsi="Times New Roman" w:cs="Times New Roman"/>
          <w:sz w:val="24"/>
          <w:szCs w:val="24"/>
        </w:rPr>
        <w:t xml:space="preserve">Material: </w:t>
      </w:r>
      <w:r w:rsidR="000E49B8">
        <w:rPr>
          <w:rFonts w:ascii="Times New Roman" w:hAnsi="Times New Roman" w:cs="Times New Roman"/>
          <w:sz w:val="24"/>
          <w:szCs w:val="24"/>
        </w:rPr>
        <w:t>Porous sandstone, Thasian marble</w:t>
      </w:r>
    </w:p>
    <w:p w14:paraId="307EB155" w14:textId="6E18A25C" w:rsidR="00262D99" w:rsidRPr="00EA19C3" w:rsidRDefault="00E811D5" w:rsidP="00262D99">
      <w:pPr>
        <w:rPr>
          <w:rFonts w:ascii="Times New Roman" w:hAnsi="Times New Roman" w:cs="Times New Roman"/>
          <w:sz w:val="24"/>
          <w:szCs w:val="24"/>
        </w:rPr>
      </w:pPr>
      <w:r>
        <w:rPr>
          <w:rFonts w:ascii="Times New Roman" w:hAnsi="Times New Roman" w:cs="Times New Roman"/>
          <w:sz w:val="24"/>
          <w:szCs w:val="24"/>
        </w:rPr>
        <w:t xml:space="preserve">Location: </w:t>
      </w:r>
      <w:r w:rsidR="00262D99" w:rsidRPr="00EA19C3">
        <w:rPr>
          <w:rFonts w:ascii="Times New Roman" w:hAnsi="Times New Roman" w:cs="Times New Roman"/>
          <w:sz w:val="24"/>
          <w:szCs w:val="24"/>
        </w:rPr>
        <w:t>Western Hill</w:t>
      </w:r>
    </w:p>
    <w:p w14:paraId="2782C180" w14:textId="5E460472" w:rsidR="00262D99" w:rsidRPr="00EA19C3" w:rsidRDefault="00262D99" w:rsidP="00262D99">
      <w:pPr>
        <w:pBdr>
          <w:bottom w:val="single" w:sz="6" w:space="1" w:color="auto"/>
        </w:pBdr>
        <w:rPr>
          <w:rFonts w:ascii="Times New Roman" w:hAnsi="Times New Roman" w:cs="Times New Roman"/>
          <w:sz w:val="24"/>
          <w:szCs w:val="24"/>
        </w:rPr>
      </w:pPr>
    </w:p>
    <w:p w14:paraId="08A0DA03" w14:textId="12E3E0A8" w:rsidR="00262D99" w:rsidRPr="00EA19C3" w:rsidRDefault="00262D99" w:rsidP="00262D99">
      <w:pPr>
        <w:rPr>
          <w:rFonts w:ascii="Times New Roman" w:hAnsi="Times New Roman" w:cs="Times New Roman"/>
          <w:sz w:val="24"/>
          <w:szCs w:val="24"/>
        </w:rPr>
      </w:pPr>
    </w:p>
    <w:p w14:paraId="34A3B5E4" w14:textId="383026BB" w:rsidR="001F2128" w:rsidRPr="001F2128" w:rsidRDefault="00016B26" w:rsidP="00016B2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0B6E75F" wp14:editId="22949FAD">
            <wp:extent cx="2971800" cy="1644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971800" cy="1644015"/>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2A4A9C77" wp14:editId="4F7C425F">
            <wp:extent cx="2971800" cy="139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rot="10800000">
                      <a:off x="0" y="0"/>
                      <a:ext cx="2971800" cy="1390650"/>
                    </a:xfrm>
                    <a:prstGeom prst="rect">
                      <a:avLst/>
                    </a:prstGeom>
                  </pic:spPr>
                </pic:pic>
              </a:graphicData>
            </a:graphic>
          </wp:inline>
        </w:drawing>
      </w:r>
    </w:p>
    <w:p w14:paraId="4B2E4D8B" w14:textId="4A61B665" w:rsidR="00262D99" w:rsidRPr="00EA19C3" w:rsidRDefault="00262D99" w:rsidP="00262D99">
      <w:pPr>
        <w:rPr>
          <w:rFonts w:ascii="Times New Roman" w:hAnsi="Times New Roman" w:cs="Times New Roman"/>
          <w:sz w:val="24"/>
          <w:szCs w:val="24"/>
        </w:rPr>
      </w:pPr>
    </w:p>
    <w:p w14:paraId="717E916B" w14:textId="37D4FF39" w:rsidR="00262D99" w:rsidRPr="00EA19C3" w:rsidRDefault="00701638" w:rsidP="00262D99">
      <w:pPr>
        <w:rPr>
          <w:rFonts w:ascii="Times New Roman" w:hAnsi="Times New Roman" w:cs="Times New Roman"/>
          <w:sz w:val="24"/>
          <w:szCs w:val="24"/>
        </w:rPr>
      </w:pPr>
      <w:r>
        <w:rPr>
          <w:rFonts w:ascii="Times New Roman" w:hAnsi="Times New Roman" w:cs="Times New Roman"/>
          <w:sz w:val="24"/>
          <w:szCs w:val="24"/>
        </w:rPr>
        <w:t xml:space="preserve">Caption: </w:t>
      </w:r>
      <w:r w:rsidR="00EF3165">
        <w:rPr>
          <w:rFonts w:ascii="Times New Roman" w:hAnsi="Times New Roman" w:cs="Times New Roman"/>
          <w:sz w:val="24"/>
          <w:szCs w:val="24"/>
        </w:rPr>
        <w:t>(Left)</w:t>
      </w:r>
      <w:r w:rsidR="00262D99" w:rsidRPr="00EA19C3">
        <w:rPr>
          <w:rFonts w:ascii="Times New Roman" w:hAnsi="Times New Roman" w:cs="Times New Roman"/>
          <w:sz w:val="24"/>
          <w:szCs w:val="24"/>
        </w:rPr>
        <w:t xml:space="preserve"> Current state photo </w:t>
      </w:r>
      <w:r w:rsidR="00EF3165">
        <w:rPr>
          <w:rFonts w:ascii="Times New Roman" w:hAnsi="Times New Roman" w:cs="Times New Roman"/>
          <w:sz w:val="24"/>
          <w:szCs w:val="24"/>
        </w:rPr>
        <w:t>(Right) Plan</w:t>
      </w:r>
      <w:r w:rsidR="00CC7A48">
        <w:rPr>
          <w:rFonts w:ascii="Times New Roman" w:hAnsi="Times New Roman" w:cs="Times New Roman"/>
          <w:sz w:val="24"/>
          <w:szCs w:val="24"/>
        </w:rPr>
        <w:t>.</w:t>
      </w:r>
      <w:r w:rsidR="00EF3165">
        <w:rPr>
          <w:rFonts w:ascii="Times New Roman" w:hAnsi="Times New Roman" w:cs="Times New Roman"/>
          <w:sz w:val="24"/>
          <w:szCs w:val="24"/>
        </w:rPr>
        <w:t xml:space="preserve"> </w:t>
      </w:r>
      <w:r w:rsidR="00EF3165" w:rsidRPr="003C290D">
        <w:rPr>
          <w:rFonts w:ascii="Times New Roman" w:hAnsi="Times New Roman" w:cs="Times New Roman"/>
          <w:sz w:val="24"/>
          <w:szCs w:val="24"/>
        </w:rPr>
        <w:t>© American Excavations Samothrace</w:t>
      </w:r>
    </w:p>
    <w:p w14:paraId="219F25EC" w14:textId="5F2D37BA" w:rsidR="00262D99" w:rsidRDefault="00262D99" w:rsidP="00262D99">
      <w:pPr>
        <w:rPr>
          <w:rFonts w:ascii="Times New Roman" w:hAnsi="Times New Roman" w:cs="Times New Roman"/>
          <w:sz w:val="24"/>
          <w:szCs w:val="24"/>
        </w:rPr>
      </w:pPr>
    </w:p>
    <w:p w14:paraId="69CAD34F" w14:textId="24CA5844" w:rsidR="00CB7EFD" w:rsidRPr="00CB7EFD" w:rsidRDefault="00CB7EFD" w:rsidP="00CB7EFD">
      <w:pPr>
        <w:rPr>
          <w:rFonts w:ascii="Times New Roman" w:hAnsi="Times New Roman" w:cs="Times New Roman"/>
          <w:sz w:val="24"/>
          <w:szCs w:val="24"/>
          <w:lang w:val="en-US"/>
        </w:rPr>
      </w:pPr>
      <w:r w:rsidRPr="00CB7EFD">
        <w:rPr>
          <w:rFonts w:ascii="Times New Roman" w:hAnsi="Times New Roman" w:cs="Times New Roman"/>
          <w:sz w:val="24"/>
          <w:szCs w:val="24"/>
          <w:lang w:val="en-US"/>
        </w:rPr>
        <w:t>Th</w:t>
      </w:r>
      <w:r w:rsidR="004357BA">
        <w:rPr>
          <w:rFonts w:ascii="Times New Roman" w:hAnsi="Times New Roman" w:cs="Times New Roman"/>
          <w:sz w:val="24"/>
          <w:szCs w:val="24"/>
          <w:lang w:val="en-US"/>
        </w:rPr>
        <w:t>e Milesian Banquet Hall is an</w:t>
      </w:r>
      <w:r w:rsidRPr="00CB7EFD">
        <w:rPr>
          <w:rFonts w:ascii="Times New Roman" w:hAnsi="Times New Roman" w:cs="Times New Roman"/>
          <w:sz w:val="24"/>
          <w:szCs w:val="24"/>
          <w:lang w:val="en-US"/>
        </w:rPr>
        <w:t xml:space="preserve"> unusual three-chambered building </w:t>
      </w:r>
      <w:r w:rsidR="004357BA">
        <w:rPr>
          <w:rFonts w:ascii="Times New Roman" w:hAnsi="Times New Roman" w:cs="Times New Roman"/>
          <w:sz w:val="24"/>
          <w:szCs w:val="24"/>
          <w:lang w:val="en-US"/>
        </w:rPr>
        <w:t xml:space="preserve">that </w:t>
      </w:r>
      <w:r w:rsidRPr="00CB7EFD">
        <w:rPr>
          <w:rFonts w:ascii="Times New Roman" w:hAnsi="Times New Roman" w:cs="Times New Roman"/>
          <w:sz w:val="24"/>
          <w:szCs w:val="24"/>
          <w:lang w:val="en-US"/>
        </w:rPr>
        <w:t>occupies the northern side of the Western Hill. It faces south and consists of a central open chamber with a hexastyle (six columns) prostyle Ionic façade, which provides access to the slightly smaller chambers that flank each side.</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The west and central chambers rest on natural soil, but a deep foundation of 14 courses had to be constructed for the eastern chamber, which crossed into the ravine cut by the central torrent through the center of the Sanctuary. The foundations of the building consist of a variety of materials including porous sandstone, andesite, reused andesite porphyry, and a highly friable gray limestone.</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The ordered part of the superstructure was built of Thasian marble.</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Some marble wall blocks also survive, but it is possible that sections of the wall were composed of porous sandstone covered with stucco.</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 xml:space="preserve">The design of the entablature follows </w:t>
      </w:r>
      <w:proofErr w:type="spellStart"/>
      <w:r w:rsidRPr="00CB7EFD">
        <w:rPr>
          <w:rFonts w:ascii="Times New Roman" w:hAnsi="Times New Roman" w:cs="Times New Roman"/>
          <w:sz w:val="24"/>
          <w:szCs w:val="24"/>
          <w:lang w:val="en-US"/>
        </w:rPr>
        <w:t>Samothracian</w:t>
      </w:r>
      <w:proofErr w:type="spellEnd"/>
      <w:r w:rsidRPr="00CB7EFD">
        <w:rPr>
          <w:rFonts w:ascii="Times New Roman" w:hAnsi="Times New Roman" w:cs="Times New Roman"/>
          <w:sz w:val="24"/>
          <w:szCs w:val="24"/>
          <w:lang w:val="en-US"/>
        </w:rPr>
        <w:t xml:space="preserve"> tradition in combining epistyle, frieze, and dentils.</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 xml:space="preserve">The proportions and design of this part </w:t>
      </w:r>
      <w:r w:rsidR="00B851A1">
        <w:rPr>
          <w:rFonts w:ascii="Times New Roman" w:hAnsi="Times New Roman" w:cs="Times New Roman"/>
          <w:sz w:val="24"/>
          <w:szCs w:val="24"/>
          <w:lang w:val="en-US"/>
        </w:rPr>
        <w:t>o</w:t>
      </w:r>
      <w:r w:rsidRPr="00CB7EFD">
        <w:rPr>
          <w:rFonts w:ascii="Times New Roman" w:hAnsi="Times New Roman" w:cs="Times New Roman"/>
          <w:sz w:val="24"/>
          <w:szCs w:val="24"/>
          <w:lang w:val="en-US"/>
        </w:rPr>
        <w:t>f the building reflect Hellenistic and particularly Macedonian practice. The remains of the epistyle and anta prove that while the side rooms were smaller, they rose to the same height as the main chamber and were tied together aesthetically by the entablature</w:t>
      </w:r>
      <w:r w:rsidR="00B851A1">
        <w:rPr>
          <w:rFonts w:ascii="Times New Roman" w:hAnsi="Times New Roman" w:cs="Times New Roman"/>
          <w:sz w:val="24"/>
          <w:szCs w:val="24"/>
          <w:lang w:val="en-US"/>
        </w:rPr>
        <w:t>,</w:t>
      </w:r>
      <w:r w:rsidRPr="00CB7EFD">
        <w:rPr>
          <w:rFonts w:ascii="Times New Roman" w:hAnsi="Times New Roman" w:cs="Times New Roman"/>
          <w:sz w:val="24"/>
          <w:szCs w:val="24"/>
          <w:lang w:val="en-US"/>
        </w:rPr>
        <w:t xml:space="preserve"> which wrapped around the entire structure.</w:t>
      </w:r>
      <w:r w:rsidR="00205263">
        <w:rPr>
          <w:rFonts w:ascii="Times New Roman" w:hAnsi="Times New Roman" w:cs="Times New Roman"/>
          <w:sz w:val="24"/>
          <w:szCs w:val="24"/>
          <w:lang w:val="en-US"/>
        </w:rPr>
        <w:t xml:space="preserve"> </w:t>
      </w:r>
    </w:p>
    <w:p w14:paraId="25196F25" w14:textId="77777777" w:rsidR="00CB7EFD" w:rsidRPr="00CB7EFD" w:rsidRDefault="00CB7EFD" w:rsidP="00CB7EFD">
      <w:pPr>
        <w:rPr>
          <w:rFonts w:ascii="Times New Roman" w:hAnsi="Times New Roman" w:cs="Times New Roman"/>
          <w:sz w:val="24"/>
          <w:szCs w:val="24"/>
          <w:lang w:val="en-US"/>
        </w:rPr>
      </w:pPr>
    </w:p>
    <w:p w14:paraId="5BC99211" w14:textId="566A447C" w:rsidR="00CB7EFD" w:rsidRPr="00CB7EFD" w:rsidRDefault="00CB7EFD" w:rsidP="00CB7EFD">
      <w:pPr>
        <w:rPr>
          <w:rFonts w:ascii="Times New Roman" w:hAnsi="Times New Roman" w:cs="Times New Roman"/>
          <w:sz w:val="24"/>
          <w:szCs w:val="24"/>
          <w:lang w:val="en-US"/>
        </w:rPr>
      </w:pPr>
      <w:r w:rsidRPr="00CB7EFD">
        <w:rPr>
          <w:rFonts w:ascii="Times New Roman" w:hAnsi="Times New Roman" w:cs="Times New Roman"/>
          <w:sz w:val="24"/>
          <w:szCs w:val="24"/>
          <w:lang w:val="en-US"/>
        </w:rPr>
        <w:t>19</w:t>
      </w:r>
      <w:r w:rsidRPr="00CB7EFD">
        <w:rPr>
          <w:rFonts w:ascii="Times New Roman" w:hAnsi="Times New Roman" w:cs="Times New Roman"/>
          <w:sz w:val="24"/>
          <w:szCs w:val="24"/>
          <w:vertAlign w:val="superscript"/>
          <w:lang w:val="en-US"/>
        </w:rPr>
        <w:t>th</w:t>
      </w:r>
      <w:r w:rsidRPr="00CB7EFD">
        <w:rPr>
          <w:rFonts w:ascii="Times New Roman" w:hAnsi="Times New Roman" w:cs="Times New Roman"/>
          <w:sz w:val="24"/>
          <w:szCs w:val="24"/>
          <w:lang w:val="en-US"/>
        </w:rPr>
        <w:t xml:space="preserve"> century excavators identified this building as a temple.</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 xml:space="preserve">Its design, however, resembles the three-room suites found in Macedonian palaces at </w:t>
      </w:r>
      <w:proofErr w:type="spellStart"/>
      <w:r w:rsidRPr="00CB7EFD">
        <w:rPr>
          <w:rFonts w:ascii="Times New Roman" w:hAnsi="Times New Roman" w:cs="Times New Roman"/>
          <w:sz w:val="24"/>
          <w:szCs w:val="24"/>
          <w:lang w:val="en-US"/>
        </w:rPr>
        <w:t>Vergina</w:t>
      </w:r>
      <w:proofErr w:type="spellEnd"/>
      <w:r w:rsidRPr="00CB7EFD">
        <w:rPr>
          <w:rFonts w:ascii="Times New Roman" w:hAnsi="Times New Roman" w:cs="Times New Roman"/>
          <w:sz w:val="24"/>
          <w:szCs w:val="24"/>
          <w:lang w:val="en-US"/>
        </w:rPr>
        <w:t xml:space="preserve"> and Pella and associated with dining facilities.</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Our building is most likely a grand dining hall as well.</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It is distinctive, however, in being a freestanding structure with a monumental, temple-like façade. The internal dimensions of the side chambers, roughly 8.5 m square, allow for an arrangement of 15 couches.</w:t>
      </w:r>
    </w:p>
    <w:p w14:paraId="5EF575C8" w14:textId="4FAE144B" w:rsidR="00CB7EFD" w:rsidRDefault="00CB7EFD" w:rsidP="00CB7EFD">
      <w:pPr>
        <w:rPr>
          <w:rFonts w:ascii="Times New Roman" w:hAnsi="Times New Roman" w:cs="Times New Roman"/>
          <w:sz w:val="24"/>
          <w:szCs w:val="24"/>
          <w:lang w:val="en-US"/>
        </w:rPr>
      </w:pPr>
    </w:p>
    <w:p w14:paraId="642F8845" w14:textId="41DE0396" w:rsidR="00EF3165" w:rsidRDefault="00016B26" w:rsidP="00CB7EF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8F6B16A" wp14:editId="1F74C82A">
            <wp:extent cx="3022600" cy="143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2600" cy="143510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7D3C7BAA" wp14:editId="10E8A301">
            <wp:extent cx="2920485" cy="1371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b="6290"/>
                    <a:stretch/>
                  </pic:blipFill>
                  <pic:spPr bwMode="auto">
                    <a:xfrm>
                      <a:off x="0" y="0"/>
                      <a:ext cx="2961962" cy="1391079"/>
                    </a:xfrm>
                    <a:prstGeom prst="rect">
                      <a:avLst/>
                    </a:prstGeom>
                    <a:ln>
                      <a:noFill/>
                    </a:ln>
                    <a:extLst>
                      <a:ext uri="{53640926-AAD7-44D8-BBD7-CCE9431645EC}">
                        <a14:shadowObscured xmlns:a14="http://schemas.microsoft.com/office/drawing/2010/main"/>
                      </a:ext>
                    </a:extLst>
                  </pic:spPr>
                </pic:pic>
              </a:graphicData>
            </a:graphic>
          </wp:inline>
        </w:drawing>
      </w:r>
    </w:p>
    <w:p w14:paraId="1DE2DD88" w14:textId="58DBBA7B" w:rsidR="00EF3165" w:rsidRPr="00EF3165" w:rsidRDefault="00701638" w:rsidP="00CB7EFD">
      <w:pPr>
        <w:rPr>
          <w:rFonts w:ascii="Times New Roman" w:hAnsi="Times New Roman" w:cs="Times New Roman"/>
          <w:sz w:val="24"/>
          <w:szCs w:val="24"/>
        </w:rPr>
      </w:pPr>
      <w:r>
        <w:rPr>
          <w:rFonts w:ascii="Times New Roman" w:hAnsi="Times New Roman" w:cs="Times New Roman"/>
          <w:sz w:val="24"/>
          <w:szCs w:val="24"/>
          <w:lang w:val="en-US"/>
        </w:rPr>
        <w:t xml:space="preserve">Caption: </w:t>
      </w:r>
      <w:r w:rsidR="00EF3165">
        <w:rPr>
          <w:rFonts w:ascii="Times New Roman" w:hAnsi="Times New Roman" w:cs="Times New Roman"/>
          <w:sz w:val="24"/>
          <w:szCs w:val="24"/>
          <w:lang w:val="en-US"/>
        </w:rPr>
        <w:t>(Left) Milesian inscription (Right) Reconstruction of the building</w:t>
      </w:r>
      <w:r w:rsidR="00CC7A48">
        <w:rPr>
          <w:rFonts w:ascii="Times New Roman" w:hAnsi="Times New Roman" w:cs="Times New Roman"/>
          <w:sz w:val="24"/>
          <w:szCs w:val="24"/>
          <w:lang w:val="en-US"/>
        </w:rPr>
        <w:t>.</w:t>
      </w:r>
      <w:r w:rsidR="00EF3165">
        <w:rPr>
          <w:rFonts w:ascii="Times New Roman" w:hAnsi="Times New Roman" w:cs="Times New Roman"/>
          <w:sz w:val="24"/>
          <w:szCs w:val="24"/>
          <w:lang w:val="en-US"/>
        </w:rPr>
        <w:t xml:space="preserve"> </w:t>
      </w:r>
      <w:r w:rsidR="00EF3165" w:rsidRPr="003C290D">
        <w:rPr>
          <w:rFonts w:ascii="Times New Roman" w:hAnsi="Times New Roman" w:cs="Times New Roman"/>
          <w:sz w:val="24"/>
          <w:szCs w:val="24"/>
        </w:rPr>
        <w:t>© American Excavations Samothrace</w:t>
      </w:r>
    </w:p>
    <w:p w14:paraId="1DD5DF68" w14:textId="77777777" w:rsidR="00B851A1" w:rsidRPr="00CB7EFD" w:rsidRDefault="00B851A1" w:rsidP="00CB7EFD">
      <w:pPr>
        <w:rPr>
          <w:rFonts w:ascii="Times New Roman" w:hAnsi="Times New Roman" w:cs="Times New Roman"/>
          <w:sz w:val="24"/>
          <w:szCs w:val="24"/>
          <w:lang w:val="en-US"/>
        </w:rPr>
      </w:pPr>
    </w:p>
    <w:p w14:paraId="09B4712C" w14:textId="129E8E3D" w:rsidR="00CB7EFD" w:rsidRDefault="00CB7EFD" w:rsidP="00CB7EFD">
      <w:pPr>
        <w:rPr>
          <w:rFonts w:ascii="Times New Roman" w:hAnsi="Times New Roman" w:cs="Times New Roman"/>
          <w:sz w:val="24"/>
          <w:szCs w:val="24"/>
          <w:lang w:val="en-US"/>
        </w:rPr>
      </w:pPr>
      <w:r w:rsidRPr="00CB7EFD">
        <w:rPr>
          <w:rFonts w:ascii="Times New Roman" w:hAnsi="Times New Roman" w:cs="Times New Roman"/>
          <w:sz w:val="24"/>
          <w:szCs w:val="24"/>
          <w:lang w:val="en-US"/>
        </w:rPr>
        <w:t>An inscription discovered in the mid-19</w:t>
      </w:r>
      <w:r w:rsidRPr="00CB7EFD">
        <w:rPr>
          <w:rFonts w:ascii="Times New Roman" w:hAnsi="Times New Roman" w:cs="Times New Roman"/>
          <w:sz w:val="24"/>
          <w:szCs w:val="24"/>
          <w:vertAlign w:val="superscript"/>
          <w:lang w:val="en-US"/>
        </w:rPr>
        <w:t>th</w:t>
      </w:r>
      <w:r w:rsidRPr="00CB7EFD">
        <w:rPr>
          <w:rFonts w:ascii="Times New Roman" w:hAnsi="Times New Roman" w:cs="Times New Roman"/>
          <w:sz w:val="24"/>
          <w:szCs w:val="24"/>
          <w:lang w:val="en-US"/>
        </w:rPr>
        <w:t xml:space="preserve"> century identifies the donor of the building as a private woman from the ancient Greek city of </w:t>
      </w:r>
      <w:proofErr w:type="spellStart"/>
      <w:r w:rsidRPr="00CB7EFD">
        <w:rPr>
          <w:rFonts w:ascii="Times New Roman" w:hAnsi="Times New Roman" w:cs="Times New Roman"/>
          <w:sz w:val="24"/>
          <w:szCs w:val="24"/>
          <w:lang w:val="en-US"/>
        </w:rPr>
        <w:t>Miletos</w:t>
      </w:r>
      <w:proofErr w:type="spellEnd"/>
      <w:r w:rsidRPr="00CB7EFD">
        <w:rPr>
          <w:rFonts w:ascii="Times New Roman" w:hAnsi="Times New Roman" w:cs="Times New Roman"/>
          <w:sz w:val="24"/>
          <w:szCs w:val="24"/>
          <w:lang w:val="en-US"/>
        </w:rPr>
        <w:t xml:space="preserve"> on the western coast of modern Turkey.</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T</w:t>
      </w:r>
      <w:r w:rsidR="00B851A1">
        <w:rPr>
          <w:rFonts w:ascii="Times New Roman" w:hAnsi="Times New Roman" w:cs="Times New Roman"/>
          <w:sz w:val="24"/>
          <w:szCs w:val="24"/>
          <w:lang w:val="en-US"/>
        </w:rPr>
        <w:t>w</w:t>
      </w:r>
      <w:r w:rsidRPr="00CB7EFD">
        <w:rPr>
          <w:rFonts w:ascii="Times New Roman" w:hAnsi="Times New Roman" w:cs="Times New Roman"/>
          <w:sz w:val="24"/>
          <w:szCs w:val="24"/>
          <w:lang w:val="en-US"/>
        </w:rPr>
        <w:t>o further fragments of the inscription have come to light, but they are not enough to determine her name.</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While Hellenistic queens are well known as donors of monumental architectural projects (not least Arsinoe II, who gave the Sanctuary its famous Rotunda), the largess of a private woman at this early date and so far from her home is remarkable.</w:t>
      </w:r>
    </w:p>
    <w:p w14:paraId="4BA79DCE" w14:textId="45187F96" w:rsidR="00CB7EFD" w:rsidRDefault="00CB7EFD" w:rsidP="00CB7EFD">
      <w:pPr>
        <w:rPr>
          <w:rFonts w:ascii="Times New Roman" w:hAnsi="Times New Roman" w:cs="Times New Roman"/>
          <w:sz w:val="24"/>
          <w:szCs w:val="24"/>
          <w:lang w:val="en-US"/>
        </w:rPr>
      </w:pPr>
    </w:p>
    <w:p w14:paraId="57E36F03" w14:textId="19A08223" w:rsidR="007C6FD2" w:rsidRDefault="00D0136E" w:rsidP="00CB7EFD">
      <w:pPr>
        <w:rPr>
          <w:rFonts w:ascii="Times New Roman" w:hAnsi="Times New Roman" w:cs="Times New Roman"/>
          <w:sz w:val="24"/>
          <w:szCs w:val="24"/>
          <w:lang w:val="en-US"/>
        </w:rPr>
      </w:pPr>
      <w:r>
        <w:rPr>
          <w:rFonts w:ascii="Times New Roman" w:hAnsi="Times New Roman" w:cs="Times New Roman"/>
          <w:sz w:val="24"/>
          <w:szCs w:val="24"/>
          <w:lang w:val="en-US"/>
        </w:rPr>
        <w:t>When the Austrian team excavated in the sanctuary in the mid-19</w:t>
      </w:r>
      <w:r w:rsidRPr="00D0136E">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century, they pitched their tents within the Banquet Hall and included a brief description of the building in their publication. In 1923, the French-Czech expedition </w:t>
      </w:r>
      <w:r w:rsidR="000668A2">
        <w:rPr>
          <w:rFonts w:ascii="Times New Roman" w:hAnsi="Times New Roman" w:cs="Times New Roman"/>
          <w:sz w:val="24"/>
          <w:szCs w:val="24"/>
          <w:lang w:val="en-US"/>
        </w:rPr>
        <w:t>uncovere</w:t>
      </w:r>
      <w:r>
        <w:rPr>
          <w:rFonts w:ascii="Times New Roman" w:hAnsi="Times New Roman" w:cs="Times New Roman"/>
          <w:sz w:val="24"/>
          <w:szCs w:val="24"/>
          <w:lang w:val="en-US"/>
        </w:rPr>
        <w:t>d the foundations of the Banquet Hall</w:t>
      </w:r>
      <w:r w:rsidR="000668A2">
        <w:rPr>
          <w:rFonts w:ascii="Times New Roman" w:hAnsi="Times New Roman" w:cs="Times New Roman"/>
          <w:sz w:val="24"/>
          <w:szCs w:val="24"/>
          <w:lang w:val="en-US"/>
        </w:rPr>
        <w:t xml:space="preserve"> and J. R. McCredie and the American team cleaned and studied the building in 1965. A storm in 2000 revealed several marble blocks within the soil that belonged to the Banquet Hall and from 2008 to 2012, B. D. </w:t>
      </w:r>
      <w:proofErr w:type="spellStart"/>
      <w:r w:rsidR="000668A2">
        <w:rPr>
          <w:rFonts w:ascii="Times New Roman" w:hAnsi="Times New Roman" w:cs="Times New Roman"/>
          <w:sz w:val="24"/>
          <w:szCs w:val="24"/>
          <w:lang w:val="en-US"/>
        </w:rPr>
        <w:t>Wescoat</w:t>
      </w:r>
      <w:proofErr w:type="spellEnd"/>
      <w:r w:rsidR="000668A2">
        <w:rPr>
          <w:rFonts w:ascii="Times New Roman" w:hAnsi="Times New Roman" w:cs="Times New Roman"/>
          <w:sz w:val="24"/>
          <w:szCs w:val="24"/>
          <w:lang w:val="en-US"/>
        </w:rPr>
        <w:t xml:space="preserve"> and the American team completed a reconstruction of the monument. </w:t>
      </w:r>
    </w:p>
    <w:p w14:paraId="3EDC0708" w14:textId="77777777" w:rsidR="00CB7EFD" w:rsidRPr="00CB7EFD" w:rsidRDefault="00CB7EFD" w:rsidP="00CB7EFD">
      <w:pPr>
        <w:rPr>
          <w:rFonts w:ascii="Times New Roman" w:hAnsi="Times New Roman" w:cs="Times New Roman"/>
          <w:sz w:val="24"/>
          <w:szCs w:val="24"/>
          <w:lang w:val="en-US"/>
        </w:rPr>
      </w:pPr>
    </w:p>
    <w:p w14:paraId="6A664D98" w14:textId="77777777" w:rsidR="00CB7EFD" w:rsidRPr="00CB7EFD" w:rsidRDefault="00CB7EFD" w:rsidP="00CB7EFD">
      <w:pPr>
        <w:rPr>
          <w:rFonts w:ascii="Times New Roman" w:hAnsi="Times New Roman" w:cs="Times New Roman"/>
          <w:sz w:val="24"/>
          <w:szCs w:val="24"/>
          <w:lang w:val="en-US"/>
        </w:rPr>
      </w:pPr>
    </w:p>
    <w:p w14:paraId="71BBAB4A" w14:textId="45B6546B" w:rsidR="00CB7EFD" w:rsidRPr="00CB7EFD" w:rsidRDefault="00CB7EFD" w:rsidP="00CB7EFD">
      <w:pPr>
        <w:rPr>
          <w:rFonts w:ascii="Times New Roman" w:hAnsi="Times New Roman" w:cs="Times New Roman"/>
          <w:sz w:val="24"/>
          <w:szCs w:val="24"/>
          <w:lang w:val="en-US"/>
        </w:rPr>
      </w:pPr>
      <w:r>
        <w:rPr>
          <w:rFonts w:ascii="Times New Roman" w:hAnsi="Times New Roman" w:cs="Times New Roman"/>
          <w:sz w:val="24"/>
          <w:szCs w:val="24"/>
          <w:lang w:val="en-US"/>
        </w:rPr>
        <w:t>Select</w:t>
      </w:r>
      <w:r w:rsidR="0001741E">
        <w:rPr>
          <w:rFonts w:ascii="Times New Roman" w:hAnsi="Times New Roman" w:cs="Times New Roman"/>
          <w:sz w:val="24"/>
          <w:szCs w:val="24"/>
          <w:lang w:val="en-US"/>
        </w:rPr>
        <w:t>ed</w:t>
      </w:r>
      <w:r>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Bibliography:</w:t>
      </w:r>
    </w:p>
    <w:p w14:paraId="47A72560" w14:textId="77777777" w:rsidR="00CB7EFD" w:rsidRPr="00CB7EFD" w:rsidRDefault="00CB7EFD" w:rsidP="00CB7EFD">
      <w:pPr>
        <w:rPr>
          <w:rFonts w:ascii="Times New Roman" w:hAnsi="Times New Roman" w:cs="Times New Roman"/>
          <w:sz w:val="24"/>
          <w:szCs w:val="24"/>
          <w:lang w:val="en-US"/>
        </w:rPr>
      </w:pPr>
    </w:p>
    <w:p w14:paraId="7251B880" w14:textId="77777777" w:rsidR="00CB7EFD" w:rsidRPr="00CB7EFD" w:rsidRDefault="00CB7EFD" w:rsidP="001A7B02">
      <w:pPr>
        <w:ind w:left="720" w:hanging="720"/>
        <w:rPr>
          <w:rFonts w:ascii="Times New Roman" w:hAnsi="Times New Roman" w:cs="Times New Roman"/>
          <w:sz w:val="24"/>
          <w:szCs w:val="24"/>
          <w:lang w:val="en-US"/>
        </w:rPr>
      </w:pPr>
      <w:proofErr w:type="spellStart"/>
      <w:r w:rsidRPr="00CB7EFD">
        <w:rPr>
          <w:rFonts w:ascii="Times New Roman" w:hAnsi="Times New Roman" w:cs="Times New Roman"/>
          <w:sz w:val="24"/>
          <w:szCs w:val="24"/>
          <w:lang w:val="en-US"/>
        </w:rPr>
        <w:t>Bouzek</w:t>
      </w:r>
      <w:proofErr w:type="spellEnd"/>
      <w:r w:rsidRPr="00CB7EFD">
        <w:rPr>
          <w:rFonts w:ascii="Times New Roman" w:hAnsi="Times New Roman" w:cs="Times New Roman"/>
          <w:sz w:val="24"/>
          <w:szCs w:val="24"/>
          <w:lang w:val="en-US"/>
        </w:rPr>
        <w:t xml:space="preserve">, J. et al. 1985. </w:t>
      </w:r>
      <w:r w:rsidRPr="00CB7EFD">
        <w:rPr>
          <w:rFonts w:ascii="Times New Roman" w:hAnsi="Times New Roman" w:cs="Times New Roman"/>
          <w:i/>
          <w:sz w:val="24"/>
          <w:szCs w:val="24"/>
          <w:lang w:val="en-US"/>
        </w:rPr>
        <w:t xml:space="preserve">Samothrace: 1923/1927/1978. The Results of the Czechoslovak Excavation in 1927 conducted by A. </w:t>
      </w:r>
      <w:proofErr w:type="spellStart"/>
      <w:r w:rsidRPr="00CB7EFD">
        <w:rPr>
          <w:rFonts w:ascii="Times New Roman" w:hAnsi="Times New Roman" w:cs="Times New Roman"/>
          <w:i/>
          <w:sz w:val="24"/>
          <w:szCs w:val="24"/>
          <w:lang w:val="en-US"/>
        </w:rPr>
        <w:t>Salač</w:t>
      </w:r>
      <w:proofErr w:type="spellEnd"/>
      <w:r w:rsidRPr="00CB7EFD">
        <w:rPr>
          <w:rFonts w:ascii="Times New Roman" w:hAnsi="Times New Roman" w:cs="Times New Roman"/>
          <w:i/>
          <w:sz w:val="24"/>
          <w:szCs w:val="24"/>
          <w:lang w:val="en-US"/>
        </w:rPr>
        <w:t xml:space="preserve"> and J. </w:t>
      </w:r>
      <w:proofErr w:type="spellStart"/>
      <w:r w:rsidRPr="00CB7EFD">
        <w:rPr>
          <w:rFonts w:ascii="Times New Roman" w:hAnsi="Times New Roman" w:cs="Times New Roman"/>
          <w:i/>
          <w:sz w:val="24"/>
          <w:szCs w:val="24"/>
          <w:lang w:val="en-US"/>
        </w:rPr>
        <w:t>Nepomucký</w:t>
      </w:r>
      <w:proofErr w:type="spellEnd"/>
      <w:r w:rsidRPr="00CB7EFD">
        <w:rPr>
          <w:rFonts w:ascii="Times New Roman" w:hAnsi="Times New Roman" w:cs="Times New Roman"/>
          <w:i/>
          <w:sz w:val="24"/>
          <w:szCs w:val="24"/>
          <w:lang w:val="en-US"/>
        </w:rPr>
        <w:t xml:space="preserve"> and the Unpublished Results of the 1923 Franco-Czechoslovak Excavations conducted by A. </w:t>
      </w:r>
      <w:proofErr w:type="spellStart"/>
      <w:r w:rsidRPr="00CB7EFD">
        <w:rPr>
          <w:rFonts w:ascii="Times New Roman" w:hAnsi="Times New Roman" w:cs="Times New Roman"/>
          <w:i/>
          <w:sz w:val="24"/>
          <w:szCs w:val="24"/>
          <w:lang w:val="en-US"/>
        </w:rPr>
        <w:t>Salač</w:t>
      </w:r>
      <w:proofErr w:type="spellEnd"/>
      <w:r w:rsidRPr="00CB7EFD">
        <w:rPr>
          <w:rFonts w:ascii="Times New Roman" w:hAnsi="Times New Roman" w:cs="Times New Roman"/>
          <w:i/>
          <w:sz w:val="24"/>
          <w:szCs w:val="24"/>
          <w:lang w:val="en-US"/>
        </w:rPr>
        <w:t xml:space="preserve"> and F. </w:t>
      </w:r>
      <w:proofErr w:type="spellStart"/>
      <w:r w:rsidRPr="00CB7EFD">
        <w:rPr>
          <w:rFonts w:ascii="Times New Roman" w:hAnsi="Times New Roman" w:cs="Times New Roman"/>
          <w:i/>
          <w:sz w:val="24"/>
          <w:szCs w:val="24"/>
          <w:lang w:val="en-US"/>
        </w:rPr>
        <w:t>Chapouthier</w:t>
      </w:r>
      <w:proofErr w:type="spellEnd"/>
      <w:r w:rsidRPr="00CB7EFD">
        <w:rPr>
          <w:rFonts w:ascii="Times New Roman" w:hAnsi="Times New Roman" w:cs="Times New Roman"/>
          <w:sz w:val="24"/>
          <w:szCs w:val="24"/>
          <w:lang w:val="en-US"/>
        </w:rPr>
        <w:t>. Prague, pp. 14-9, 30-4, 68-74.</w:t>
      </w:r>
    </w:p>
    <w:p w14:paraId="44200488" w14:textId="52E3EEC3" w:rsidR="00CB7EFD" w:rsidRPr="00CB7EFD" w:rsidRDefault="00CB7EFD" w:rsidP="001A7B02">
      <w:pPr>
        <w:ind w:left="720" w:hanging="720"/>
        <w:rPr>
          <w:rFonts w:ascii="Times New Roman" w:hAnsi="Times New Roman" w:cs="Times New Roman"/>
          <w:sz w:val="24"/>
          <w:szCs w:val="24"/>
          <w:lang w:val="en-US"/>
        </w:rPr>
      </w:pPr>
      <w:r w:rsidRPr="00CB7EFD">
        <w:rPr>
          <w:rFonts w:ascii="Times New Roman" w:hAnsi="Times New Roman" w:cs="Times New Roman"/>
          <w:sz w:val="24"/>
          <w:szCs w:val="24"/>
          <w:lang w:val="en-US"/>
        </w:rPr>
        <w:t xml:space="preserve">Lehmann, K. 1998. </w:t>
      </w:r>
      <w:r w:rsidRPr="00CB7EFD">
        <w:rPr>
          <w:rFonts w:ascii="Times New Roman" w:hAnsi="Times New Roman" w:cs="Times New Roman"/>
          <w:i/>
          <w:sz w:val="24"/>
          <w:szCs w:val="24"/>
          <w:lang w:val="en-US"/>
        </w:rPr>
        <w:t>Samothrace: A Guide to the Excavations and the Museum</w:t>
      </w:r>
      <w:r w:rsidRPr="00CB7EFD">
        <w:rPr>
          <w:rFonts w:ascii="Times New Roman" w:hAnsi="Times New Roman" w:cs="Times New Roman"/>
          <w:sz w:val="24"/>
          <w:szCs w:val="24"/>
          <w:lang w:val="en-US"/>
        </w:rPr>
        <w:t>. 6</w:t>
      </w:r>
      <w:r w:rsidRPr="00CB7EFD">
        <w:rPr>
          <w:rFonts w:ascii="Times New Roman" w:hAnsi="Times New Roman" w:cs="Times New Roman"/>
          <w:sz w:val="24"/>
          <w:szCs w:val="24"/>
          <w:vertAlign w:val="superscript"/>
          <w:lang w:val="en-US"/>
        </w:rPr>
        <w:t>th</w:t>
      </w:r>
      <w:r w:rsidRPr="00CB7EFD">
        <w:rPr>
          <w:rFonts w:ascii="Times New Roman" w:hAnsi="Times New Roman" w:cs="Times New Roman"/>
          <w:sz w:val="24"/>
          <w:szCs w:val="24"/>
          <w:lang w:val="en-US"/>
        </w:rPr>
        <w:t xml:space="preserve"> ed.</w:t>
      </w:r>
      <w:r w:rsidR="00205263">
        <w:rPr>
          <w:rFonts w:ascii="Times New Roman" w:hAnsi="Times New Roman" w:cs="Times New Roman"/>
          <w:sz w:val="24"/>
          <w:szCs w:val="24"/>
          <w:lang w:val="en-US"/>
        </w:rPr>
        <w:t xml:space="preserve"> </w:t>
      </w:r>
      <w:r w:rsidRPr="00CB7EFD">
        <w:rPr>
          <w:rFonts w:ascii="Times New Roman" w:hAnsi="Times New Roman" w:cs="Times New Roman"/>
          <w:sz w:val="24"/>
          <w:szCs w:val="24"/>
          <w:lang w:val="en-US"/>
        </w:rPr>
        <w:t>Thessaloniki, p. 111.</w:t>
      </w:r>
    </w:p>
    <w:p w14:paraId="1B5A9CF7" w14:textId="77777777" w:rsidR="00CB7EFD" w:rsidRPr="00CB7EFD" w:rsidRDefault="00CB7EFD" w:rsidP="001A7B02">
      <w:pPr>
        <w:ind w:left="720" w:hanging="720"/>
        <w:rPr>
          <w:rFonts w:ascii="Times New Roman" w:hAnsi="Times New Roman" w:cs="Times New Roman"/>
          <w:sz w:val="24"/>
          <w:szCs w:val="24"/>
          <w:lang w:val="en-US"/>
        </w:rPr>
      </w:pPr>
      <w:r w:rsidRPr="00CB7EFD">
        <w:rPr>
          <w:rFonts w:ascii="Times New Roman" w:hAnsi="Times New Roman" w:cs="Times New Roman"/>
          <w:sz w:val="24"/>
          <w:szCs w:val="24"/>
          <w:lang w:val="en-US"/>
        </w:rPr>
        <w:t xml:space="preserve">McCredie, J. R. 1968. “Preliminary Report on the Campaigns of 1965-1967,” </w:t>
      </w:r>
      <w:r w:rsidRPr="00CB7EFD">
        <w:rPr>
          <w:rFonts w:ascii="Times New Roman" w:hAnsi="Times New Roman" w:cs="Times New Roman"/>
          <w:i/>
          <w:sz w:val="24"/>
          <w:szCs w:val="24"/>
          <w:lang w:val="en-US"/>
        </w:rPr>
        <w:t>Hesperia</w:t>
      </w:r>
      <w:r w:rsidRPr="00CB7EFD">
        <w:rPr>
          <w:rFonts w:ascii="Times New Roman" w:hAnsi="Times New Roman" w:cs="Times New Roman"/>
          <w:sz w:val="24"/>
          <w:szCs w:val="24"/>
          <w:lang w:val="en-US"/>
        </w:rPr>
        <w:t xml:space="preserve"> 37, pp. 208-209. </w:t>
      </w:r>
    </w:p>
    <w:p w14:paraId="7E44751C" w14:textId="77777777" w:rsidR="00CB7EFD" w:rsidRPr="00CB7EFD" w:rsidRDefault="00CB7EFD" w:rsidP="001A7B02">
      <w:pPr>
        <w:ind w:left="720" w:hanging="720"/>
        <w:rPr>
          <w:rFonts w:ascii="Times New Roman" w:hAnsi="Times New Roman" w:cs="Times New Roman"/>
          <w:sz w:val="24"/>
          <w:szCs w:val="24"/>
          <w:lang w:val="en-US"/>
        </w:rPr>
      </w:pPr>
      <w:proofErr w:type="spellStart"/>
      <w:r w:rsidRPr="00CB7EFD">
        <w:rPr>
          <w:rFonts w:ascii="Times New Roman" w:hAnsi="Times New Roman" w:cs="Times New Roman"/>
          <w:sz w:val="24"/>
          <w:szCs w:val="24"/>
          <w:lang w:val="en-US"/>
        </w:rPr>
        <w:t>Salviat</w:t>
      </w:r>
      <w:proofErr w:type="spellEnd"/>
      <w:r w:rsidRPr="00CB7EFD">
        <w:rPr>
          <w:rFonts w:ascii="Times New Roman" w:hAnsi="Times New Roman" w:cs="Times New Roman"/>
          <w:sz w:val="24"/>
          <w:szCs w:val="24"/>
          <w:lang w:val="en-US"/>
        </w:rPr>
        <w:t xml:space="preserve">, F. 1962. “Addenda </w:t>
      </w:r>
      <w:proofErr w:type="spellStart"/>
      <w:r w:rsidRPr="00CB7EFD">
        <w:rPr>
          <w:rFonts w:ascii="Times New Roman" w:hAnsi="Times New Roman" w:cs="Times New Roman"/>
          <w:sz w:val="24"/>
          <w:szCs w:val="24"/>
          <w:lang w:val="en-US"/>
        </w:rPr>
        <w:t>Samothraciens</w:t>
      </w:r>
      <w:proofErr w:type="spellEnd"/>
      <w:r w:rsidRPr="00CB7EFD">
        <w:rPr>
          <w:rFonts w:ascii="Times New Roman" w:hAnsi="Times New Roman" w:cs="Times New Roman"/>
          <w:sz w:val="24"/>
          <w:szCs w:val="24"/>
          <w:lang w:val="en-US"/>
        </w:rPr>
        <w:t xml:space="preserve">,” </w:t>
      </w:r>
      <w:r w:rsidRPr="00CB7EFD">
        <w:rPr>
          <w:rFonts w:ascii="Times New Roman" w:hAnsi="Times New Roman" w:cs="Times New Roman"/>
          <w:i/>
          <w:sz w:val="24"/>
          <w:szCs w:val="24"/>
          <w:lang w:val="en-US"/>
        </w:rPr>
        <w:t>BCH</w:t>
      </w:r>
      <w:r w:rsidRPr="00CB7EFD">
        <w:rPr>
          <w:rFonts w:ascii="Times New Roman" w:hAnsi="Times New Roman" w:cs="Times New Roman"/>
          <w:sz w:val="24"/>
          <w:szCs w:val="24"/>
          <w:lang w:val="en-US"/>
        </w:rPr>
        <w:t xml:space="preserve"> 86, pp. 281-90.</w:t>
      </w:r>
    </w:p>
    <w:p w14:paraId="70F6E189" w14:textId="77777777" w:rsidR="00E0338A" w:rsidRPr="00E0338A" w:rsidRDefault="00E0338A" w:rsidP="001A7B02">
      <w:pPr>
        <w:ind w:left="720" w:hanging="720"/>
        <w:rPr>
          <w:rFonts w:ascii="Times New Roman" w:hAnsi="Times New Roman" w:cs="Times New Roman"/>
          <w:sz w:val="24"/>
          <w:szCs w:val="24"/>
          <w:lang w:val="en-US"/>
        </w:rPr>
      </w:pPr>
      <w:proofErr w:type="spellStart"/>
      <w:r w:rsidRPr="00E0338A">
        <w:rPr>
          <w:rFonts w:ascii="Times New Roman" w:hAnsi="Times New Roman" w:cs="Times New Roman"/>
          <w:sz w:val="24"/>
          <w:szCs w:val="24"/>
          <w:lang w:val="en-US"/>
        </w:rPr>
        <w:t>Wescoat</w:t>
      </w:r>
      <w:proofErr w:type="spellEnd"/>
      <w:r w:rsidRPr="00E0338A">
        <w:rPr>
          <w:rFonts w:ascii="Times New Roman" w:hAnsi="Times New Roman" w:cs="Times New Roman"/>
          <w:sz w:val="24"/>
          <w:szCs w:val="24"/>
          <w:lang w:val="en-US"/>
        </w:rPr>
        <w:t xml:space="preserve">, B. D. 2015. “Recalibrating </w:t>
      </w:r>
      <w:proofErr w:type="spellStart"/>
      <w:r w:rsidRPr="00E0338A">
        <w:rPr>
          <w:rFonts w:ascii="Times New Roman" w:hAnsi="Times New Roman" w:cs="Times New Roman"/>
          <w:sz w:val="24"/>
          <w:szCs w:val="24"/>
          <w:lang w:val="en-US"/>
        </w:rPr>
        <w:t>Samothracian</w:t>
      </w:r>
      <w:proofErr w:type="spellEnd"/>
      <w:r w:rsidRPr="00E0338A">
        <w:rPr>
          <w:rFonts w:ascii="Times New Roman" w:hAnsi="Times New Roman" w:cs="Times New Roman"/>
          <w:sz w:val="24"/>
          <w:szCs w:val="24"/>
          <w:lang w:val="en-US"/>
        </w:rPr>
        <w:t xml:space="preserve"> Architecture,” in </w:t>
      </w:r>
      <w:proofErr w:type="spellStart"/>
      <w:r w:rsidRPr="00E0338A">
        <w:rPr>
          <w:rFonts w:ascii="Times New Roman" w:hAnsi="Times New Roman" w:cs="Times New Roman"/>
          <w:i/>
          <w:iCs/>
          <w:sz w:val="24"/>
          <w:szCs w:val="24"/>
          <w:lang w:val="en-US"/>
        </w:rPr>
        <w:t>L’architecture</w:t>
      </w:r>
      <w:proofErr w:type="spellEnd"/>
      <w:r w:rsidRPr="00E0338A">
        <w:rPr>
          <w:rFonts w:ascii="Times New Roman" w:hAnsi="Times New Roman" w:cs="Times New Roman"/>
          <w:i/>
          <w:iCs/>
          <w:sz w:val="24"/>
          <w:szCs w:val="24"/>
          <w:lang w:val="en-US"/>
        </w:rPr>
        <w:t xml:space="preserve"> </w:t>
      </w:r>
      <w:proofErr w:type="spellStart"/>
      <w:r w:rsidRPr="00E0338A">
        <w:rPr>
          <w:rFonts w:ascii="Times New Roman" w:hAnsi="Times New Roman" w:cs="Times New Roman"/>
          <w:i/>
          <w:iCs/>
          <w:sz w:val="24"/>
          <w:szCs w:val="24"/>
          <w:lang w:val="en-US"/>
        </w:rPr>
        <w:t>monumentale</w:t>
      </w:r>
      <w:proofErr w:type="spellEnd"/>
      <w:r w:rsidRPr="00E0338A">
        <w:rPr>
          <w:rFonts w:ascii="Times New Roman" w:hAnsi="Times New Roman" w:cs="Times New Roman"/>
          <w:i/>
          <w:iCs/>
          <w:sz w:val="24"/>
          <w:szCs w:val="24"/>
          <w:lang w:val="en-US"/>
        </w:rPr>
        <w:t xml:space="preserve"> grecque au </w:t>
      </w:r>
      <w:proofErr w:type="spellStart"/>
      <w:r w:rsidRPr="00E0338A">
        <w:rPr>
          <w:rFonts w:ascii="Times New Roman" w:hAnsi="Times New Roman" w:cs="Times New Roman"/>
          <w:i/>
          <w:iCs/>
          <w:sz w:val="24"/>
          <w:szCs w:val="24"/>
          <w:lang w:val="en-US"/>
        </w:rPr>
        <w:t>III</w:t>
      </w:r>
      <w:r w:rsidRPr="00E0338A">
        <w:rPr>
          <w:rFonts w:ascii="Times New Roman" w:hAnsi="Times New Roman" w:cs="Times New Roman"/>
          <w:i/>
          <w:iCs/>
          <w:sz w:val="24"/>
          <w:szCs w:val="24"/>
          <w:vertAlign w:val="superscript"/>
          <w:lang w:val="en-US"/>
        </w:rPr>
        <w:t>e</w:t>
      </w:r>
      <w:proofErr w:type="spellEnd"/>
      <w:r w:rsidRPr="00E0338A">
        <w:rPr>
          <w:rFonts w:ascii="Times New Roman" w:hAnsi="Times New Roman" w:cs="Times New Roman"/>
          <w:i/>
          <w:iCs/>
          <w:sz w:val="24"/>
          <w:szCs w:val="24"/>
          <w:vertAlign w:val="superscript"/>
          <w:lang w:val="en-US"/>
        </w:rPr>
        <w:t xml:space="preserve"> </w:t>
      </w:r>
      <w:r w:rsidRPr="00E0338A">
        <w:rPr>
          <w:rFonts w:ascii="Times New Roman" w:hAnsi="Times New Roman" w:cs="Times New Roman"/>
          <w:i/>
          <w:iCs/>
          <w:sz w:val="24"/>
          <w:szCs w:val="24"/>
          <w:lang w:val="en-US"/>
        </w:rPr>
        <w:t xml:space="preserve">s. </w:t>
      </w:r>
      <w:proofErr w:type="spellStart"/>
      <w:r w:rsidRPr="00E0338A">
        <w:rPr>
          <w:rFonts w:ascii="Times New Roman" w:hAnsi="Times New Roman" w:cs="Times New Roman"/>
          <w:i/>
          <w:iCs/>
          <w:sz w:val="24"/>
          <w:szCs w:val="24"/>
          <w:lang w:val="en-US"/>
        </w:rPr>
        <w:t>a.C.</w:t>
      </w:r>
      <w:proofErr w:type="spellEnd"/>
      <w:r w:rsidRPr="00E0338A">
        <w:rPr>
          <w:rFonts w:ascii="Times New Roman" w:hAnsi="Times New Roman" w:cs="Times New Roman"/>
          <w:i/>
          <w:iCs/>
          <w:sz w:val="24"/>
          <w:szCs w:val="24"/>
          <w:lang w:val="en-US"/>
        </w:rPr>
        <w:t xml:space="preserve">, </w:t>
      </w:r>
      <w:r w:rsidRPr="00E0338A">
        <w:rPr>
          <w:rFonts w:ascii="Times New Roman" w:hAnsi="Times New Roman" w:cs="Times New Roman"/>
          <w:sz w:val="24"/>
          <w:szCs w:val="24"/>
          <w:lang w:val="en-US"/>
        </w:rPr>
        <w:t>Bordeaux, pp. 132-134, 137-138.</w:t>
      </w:r>
    </w:p>
    <w:p w14:paraId="4A372EA5" w14:textId="16CD7EFC" w:rsidR="00E0338A" w:rsidRPr="00E0338A" w:rsidRDefault="001A7B02" w:rsidP="001A7B02">
      <w:pPr>
        <w:ind w:left="720" w:hanging="720"/>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E0338A" w:rsidRPr="00E0338A">
        <w:rPr>
          <w:rFonts w:ascii="Times New Roman" w:hAnsi="Times New Roman" w:cs="Times New Roman"/>
          <w:sz w:val="24"/>
          <w:szCs w:val="24"/>
          <w:lang w:val="en-US"/>
        </w:rPr>
        <w:t xml:space="preserve">2019. “More Corinthian on Samothrace,” in </w:t>
      </w:r>
      <w:r w:rsidR="00E0338A" w:rsidRPr="00E0338A">
        <w:rPr>
          <w:rFonts w:ascii="Times New Roman" w:hAnsi="Times New Roman" w:cs="Times New Roman"/>
          <w:i/>
          <w:iCs/>
          <w:sz w:val="24"/>
          <w:szCs w:val="24"/>
          <w:lang w:val="en-US"/>
        </w:rPr>
        <w:t xml:space="preserve">Listening to the Stones: Essays on Architecture and Function in Ancient Greek Sanctuaries in </w:t>
      </w:r>
      <w:proofErr w:type="spellStart"/>
      <w:r w:rsidR="00E0338A" w:rsidRPr="00E0338A">
        <w:rPr>
          <w:rFonts w:ascii="Times New Roman" w:hAnsi="Times New Roman" w:cs="Times New Roman"/>
          <w:i/>
          <w:iCs/>
          <w:sz w:val="24"/>
          <w:szCs w:val="24"/>
          <w:lang w:val="en-US"/>
        </w:rPr>
        <w:t>Honour</w:t>
      </w:r>
      <w:proofErr w:type="spellEnd"/>
      <w:r w:rsidR="00E0338A" w:rsidRPr="00E0338A">
        <w:rPr>
          <w:rFonts w:ascii="Times New Roman" w:hAnsi="Times New Roman" w:cs="Times New Roman"/>
          <w:i/>
          <w:iCs/>
          <w:sz w:val="24"/>
          <w:szCs w:val="24"/>
          <w:lang w:val="en-US"/>
        </w:rPr>
        <w:t xml:space="preserve"> of Richard Alan Tomlinson,</w:t>
      </w:r>
      <w:r w:rsidR="00E0338A" w:rsidRPr="00E0338A">
        <w:rPr>
          <w:rFonts w:ascii="Times New Roman" w:hAnsi="Times New Roman" w:cs="Times New Roman"/>
          <w:sz w:val="24"/>
          <w:szCs w:val="24"/>
          <w:lang w:val="en-US"/>
        </w:rPr>
        <w:t xml:space="preserve"> eds. E. C. </w:t>
      </w:r>
      <w:proofErr w:type="spellStart"/>
      <w:r w:rsidR="00E0338A" w:rsidRPr="00E0338A">
        <w:rPr>
          <w:rFonts w:ascii="Times New Roman" w:hAnsi="Times New Roman" w:cs="Times New Roman"/>
          <w:sz w:val="24"/>
          <w:szCs w:val="24"/>
          <w:lang w:val="en-US"/>
        </w:rPr>
        <w:t>Patrida</w:t>
      </w:r>
      <w:proofErr w:type="spellEnd"/>
      <w:r w:rsidR="00E0338A" w:rsidRPr="00E0338A">
        <w:rPr>
          <w:rFonts w:ascii="Times New Roman" w:hAnsi="Times New Roman" w:cs="Times New Roman"/>
          <w:sz w:val="24"/>
          <w:szCs w:val="24"/>
          <w:lang w:val="en-US"/>
        </w:rPr>
        <w:t xml:space="preserve"> and B. Schmidt-</w:t>
      </w:r>
      <w:proofErr w:type="spellStart"/>
      <w:r w:rsidR="00E0338A" w:rsidRPr="00E0338A">
        <w:rPr>
          <w:rFonts w:ascii="Times New Roman" w:hAnsi="Times New Roman" w:cs="Times New Roman"/>
          <w:sz w:val="24"/>
          <w:szCs w:val="24"/>
          <w:lang w:val="en-US"/>
        </w:rPr>
        <w:t>Dounas</w:t>
      </w:r>
      <w:proofErr w:type="spellEnd"/>
      <w:r w:rsidR="00E0338A" w:rsidRPr="00E0338A">
        <w:rPr>
          <w:rFonts w:ascii="Times New Roman" w:hAnsi="Times New Roman" w:cs="Times New Roman"/>
          <w:sz w:val="24"/>
          <w:szCs w:val="24"/>
          <w:lang w:val="en-US"/>
        </w:rPr>
        <w:t>, Oxford, pp. 153-161.</w:t>
      </w:r>
    </w:p>
    <w:p w14:paraId="64BFB2AF" w14:textId="77777777" w:rsidR="00CB7EFD" w:rsidRPr="00EA19C3" w:rsidRDefault="00CB7EFD" w:rsidP="00262D99">
      <w:pPr>
        <w:rPr>
          <w:rFonts w:ascii="Times New Roman" w:hAnsi="Times New Roman" w:cs="Times New Roman"/>
          <w:sz w:val="24"/>
          <w:szCs w:val="24"/>
        </w:rPr>
      </w:pPr>
    </w:p>
    <w:p w14:paraId="52212B2A" w14:textId="5D81D6FA" w:rsidR="00C61002" w:rsidRPr="00EA19C3" w:rsidRDefault="00C61002" w:rsidP="00C61002">
      <w:pPr>
        <w:pBdr>
          <w:bottom w:val="single" w:sz="6" w:space="1" w:color="auto"/>
        </w:pBdr>
        <w:rPr>
          <w:rFonts w:ascii="Times New Roman" w:hAnsi="Times New Roman" w:cs="Times New Roman"/>
          <w:sz w:val="24"/>
          <w:szCs w:val="24"/>
        </w:rPr>
      </w:pPr>
    </w:p>
    <w:p w14:paraId="5921242A" w14:textId="77777777" w:rsidR="00C61002" w:rsidRPr="00EA19C3" w:rsidRDefault="00C61002" w:rsidP="00C61002">
      <w:pPr>
        <w:pBdr>
          <w:bottom w:val="single" w:sz="6" w:space="1" w:color="auto"/>
        </w:pBdr>
        <w:rPr>
          <w:rFonts w:ascii="Times New Roman" w:hAnsi="Times New Roman" w:cs="Times New Roman"/>
          <w:sz w:val="24"/>
          <w:szCs w:val="24"/>
        </w:rPr>
      </w:pPr>
    </w:p>
    <w:p w14:paraId="46A03D9D" w14:textId="582B9ED5" w:rsidR="003B0A2D" w:rsidRPr="00EA19C3" w:rsidRDefault="00142745" w:rsidP="003B0A2D">
      <w:pPr>
        <w:rPr>
          <w:rFonts w:ascii="Times New Roman" w:hAnsi="Times New Roman" w:cs="Times New Roman"/>
          <w:sz w:val="24"/>
          <w:szCs w:val="24"/>
        </w:rPr>
      </w:pPr>
      <w:r>
        <w:rPr>
          <w:rFonts w:ascii="Times New Roman" w:hAnsi="Times New Roman" w:cs="Times New Roman"/>
          <w:sz w:val="24"/>
          <w:szCs w:val="24"/>
        </w:rPr>
        <w:t xml:space="preserve">Document updated: </w:t>
      </w:r>
      <w:r w:rsidR="003B0A2D" w:rsidRPr="00EA19C3">
        <w:rPr>
          <w:rFonts w:ascii="Times New Roman" w:hAnsi="Times New Roman" w:cs="Times New Roman"/>
          <w:sz w:val="24"/>
          <w:szCs w:val="24"/>
        </w:rPr>
        <w:t>Glennon 2021</w:t>
      </w:r>
      <w:r w:rsidR="000E49B8">
        <w:rPr>
          <w:rFonts w:ascii="Times New Roman" w:hAnsi="Times New Roman" w:cs="Times New Roman"/>
          <w:sz w:val="24"/>
          <w:szCs w:val="24"/>
        </w:rPr>
        <w:t>1</w:t>
      </w:r>
      <w:r w:rsidR="003B0A2D" w:rsidRPr="00EA19C3">
        <w:rPr>
          <w:rFonts w:ascii="Times New Roman" w:hAnsi="Times New Roman" w:cs="Times New Roman"/>
          <w:sz w:val="24"/>
          <w:szCs w:val="24"/>
        </w:rPr>
        <w:t>205</w:t>
      </w:r>
    </w:p>
    <w:p w14:paraId="1661F27C" w14:textId="77777777" w:rsidR="003B0A2D" w:rsidRPr="00EA19C3" w:rsidRDefault="003B0A2D" w:rsidP="00634CBB">
      <w:pPr>
        <w:rPr>
          <w:rFonts w:ascii="Times New Roman" w:hAnsi="Times New Roman" w:cs="Times New Roman"/>
          <w:sz w:val="24"/>
          <w:szCs w:val="24"/>
        </w:rPr>
      </w:pPr>
    </w:p>
    <w:sectPr w:rsidR="003B0A2D" w:rsidRPr="00EA19C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56EB"/>
    <w:multiLevelType w:val="multilevel"/>
    <w:tmpl w:val="92C88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468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C6"/>
    <w:rsid w:val="00016B26"/>
    <w:rsid w:val="0001741E"/>
    <w:rsid w:val="000668A2"/>
    <w:rsid w:val="00074B10"/>
    <w:rsid w:val="000E49B8"/>
    <w:rsid w:val="00142745"/>
    <w:rsid w:val="001A7B02"/>
    <w:rsid w:val="001B7568"/>
    <w:rsid w:val="001F2128"/>
    <w:rsid w:val="00205263"/>
    <w:rsid w:val="00262D99"/>
    <w:rsid w:val="00282813"/>
    <w:rsid w:val="002C5413"/>
    <w:rsid w:val="003B0A2D"/>
    <w:rsid w:val="003F1916"/>
    <w:rsid w:val="004301EC"/>
    <w:rsid w:val="004357BA"/>
    <w:rsid w:val="004440F8"/>
    <w:rsid w:val="00494E06"/>
    <w:rsid w:val="004E7C5F"/>
    <w:rsid w:val="00634CBB"/>
    <w:rsid w:val="006D59AD"/>
    <w:rsid w:val="00701638"/>
    <w:rsid w:val="007C6FD2"/>
    <w:rsid w:val="00B851A1"/>
    <w:rsid w:val="00C16FC6"/>
    <w:rsid w:val="00C51177"/>
    <w:rsid w:val="00C61002"/>
    <w:rsid w:val="00CB7EFD"/>
    <w:rsid w:val="00CC7A48"/>
    <w:rsid w:val="00D0136E"/>
    <w:rsid w:val="00E0338A"/>
    <w:rsid w:val="00E811D5"/>
    <w:rsid w:val="00EA19C3"/>
    <w:rsid w:val="00EF31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D6CA62E"/>
  <w15:docId w15:val="{95F3D6C6-A1D4-8743-92AF-42248720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D59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72833">
      <w:bodyDiv w:val="1"/>
      <w:marLeft w:val="0"/>
      <w:marRight w:val="0"/>
      <w:marTop w:val="0"/>
      <w:marBottom w:val="0"/>
      <w:divBdr>
        <w:top w:val="none" w:sz="0" w:space="0" w:color="auto"/>
        <w:left w:val="none" w:sz="0" w:space="0" w:color="auto"/>
        <w:bottom w:val="none" w:sz="0" w:space="0" w:color="auto"/>
        <w:right w:val="none" w:sz="0" w:space="0" w:color="auto"/>
      </w:divBdr>
    </w:div>
    <w:div w:id="352924458">
      <w:bodyDiv w:val="1"/>
      <w:marLeft w:val="0"/>
      <w:marRight w:val="0"/>
      <w:marTop w:val="0"/>
      <w:marBottom w:val="0"/>
      <w:divBdr>
        <w:top w:val="none" w:sz="0" w:space="0" w:color="auto"/>
        <w:left w:val="none" w:sz="0" w:space="0" w:color="auto"/>
        <w:bottom w:val="none" w:sz="0" w:space="0" w:color="auto"/>
        <w:right w:val="none" w:sz="0" w:space="0" w:color="auto"/>
      </w:divBdr>
    </w:div>
    <w:div w:id="430781392">
      <w:bodyDiv w:val="1"/>
      <w:marLeft w:val="0"/>
      <w:marRight w:val="0"/>
      <w:marTop w:val="0"/>
      <w:marBottom w:val="0"/>
      <w:divBdr>
        <w:top w:val="none" w:sz="0" w:space="0" w:color="auto"/>
        <w:left w:val="none" w:sz="0" w:space="0" w:color="auto"/>
        <w:bottom w:val="none" w:sz="0" w:space="0" w:color="auto"/>
        <w:right w:val="none" w:sz="0" w:space="0" w:color="auto"/>
      </w:divBdr>
    </w:div>
    <w:div w:id="883910545">
      <w:bodyDiv w:val="1"/>
      <w:marLeft w:val="0"/>
      <w:marRight w:val="0"/>
      <w:marTop w:val="0"/>
      <w:marBottom w:val="0"/>
      <w:divBdr>
        <w:top w:val="none" w:sz="0" w:space="0" w:color="auto"/>
        <w:left w:val="none" w:sz="0" w:space="0" w:color="auto"/>
        <w:bottom w:val="none" w:sz="0" w:space="0" w:color="auto"/>
        <w:right w:val="none" w:sz="0" w:space="0" w:color="auto"/>
      </w:divBdr>
    </w:div>
    <w:div w:id="1096945057">
      <w:bodyDiv w:val="1"/>
      <w:marLeft w:val="0"/>
      <w:marRight w:val="0"/>
      <w:marTop w:val="0"/>
      <w:marBottom w:val="0"/>
      <w:divBdr>
        <w:top w:val="none" w:sz="0" w:space="0" w:color="auto"/>
        <w:left w:val="none" w:sz="0" w:space="0" w:color="auto"/>
        <w:bottom w:val="none" w:sz="0" w:space="0" w:color="auto"/>
        <w:right w:val="none" w:sz="0" w:space="0" w:color="auto"/>
      </w:divBdr>
    </w:div>
    <w:div w:id="1195458664">
      <w:bodyDiv w:val="1"/>
      <w:marLeft w:val="0"/>
      <w:marRight w:val="0"/>
      <w:marTop w:val="0"/>
      <w:marBottom w:val="0"/>
      <w:divBdr>
        <w:top w:val="none" w:sz="0" w:space="0" w:color="auto"/>
        <w:left w:val="none" w:sz="0" w:space="0" w:color="auto"/>
        <w:bottom w:val="none" w:sz="0" w:space="0" w:color="auto"/>
        <w:right w:val="none" w:sz="0" w:space="0" w:color="auto"/>
      </w:divBdr>
    </w:div>
    <w:div w:id="1576083207">
      <w:bodyDiv w:val="1"/>
      <w:marLeft w:val="0"/>
      <w:marRight w:val="0"/>
      <w:marTop w:val="0"/>
      <w:marBottom w:val="0"/>
      <w:divBdr>
        <w:top w:val="none" w:sz="0" w:space="0" w:color="auto"/>
        <w:left w:val="none" w:sz="0" w:space="0" w:color="auto"/>
        <w:bottom w:val="none" w:sz="0" w:space="0" w:color="auto"/>
        <w:right w:val="none" w:sz="0" w:space="0" w:color="auto"/>
      </w:divBdr>
    </w:div>
    <w:div w:id="1676032406">
      <w:bodyDiv w:val="1"/>
      <w:marLeft w:val="0"/>
      <w:marRight w:val="0"/>
      <w:marTop w:val="0"/>
      <w:marBottom w:val="0"/>
      <w:divBdr>
        <w:top w:val="none" w:sz="0" w:space="0" w:color="auto"/>
        <w:left w:val="none" w:sz="0" w:space="0" w:color="auto"/>
        <w:bottom w:val="none" w:sz="0" w:space="0" w:color="auto"/>
        <w:right w:val="none" w:sz="0" w:space="0" w:color="auto"/>
      </w:divBdr>
    </w:div>
    <w:div w:id="1739598097">
      <w:bodyDiv w:val="1"/>
      <w:marLeft w:val="0"/>
      <w:marRight w:val="0"/>
      <w:marTop w:val="0"/>
      <w:marBottom w:val="0"/>
      <w:divBdr>
        <w:top w:val="none" w:sz="0" w:space="0" w:color="auto"/>
        <w:left w:val="none" w:sz="0" w:space="0" w:color="auto"/>
        <w:bottom w:val="none" w:sz="0" w:space="0" w:color="auto"/>
        <w:right w:val="none" w:sz="0" w:space="0" w:color="auto"/>
      </w:divBdr>
    </w:div>
    <w:div w:id="176568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d389b3-efea-4712-8c20-51fe21ef2d15" xsi:nil="true"/>
    <lcf76f155ced4ddcb4097134ff3c332f xmlns="5db3368f-f7fa-451a-9f6b-e714cdee579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7234DC-FB2E-46B6-8DF5-411B4BDDEB3A}">
  <ds:schemaRefs>
    <ds:schemaRef ds:uri="http://schemas.microsoft.com/office/2006/metadata/properties"/>
    <ds:schemaRef ds:uri="http://schemas.microsoft.com/office/infopath/2007/PartnerControls"/>
    <ds:schemaRef ds:uri="b6d389b3-efea-4712-8c20-51fe21ef2d15"/>
    <ds:schemaRef ds:uri="5db3368f-f7fa-451a-9f6b-e714cdee5798"/>
  </ds:schemaRefs>
</ds:datastoreItem>
</file>

<file path=customXml/itemProps2.xml><?xml version="1.0" encoding="utf-8"?>
<ds:datastoreItem xmlns:ds="http://schemas.openxmlformats.org/officeDocument/2006/customXml" ds:itemID="{E568A954-8D18-42FF-A0ED-0A692437B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46917A-78FC-44A6-95D7-D5E0A82EA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Jared Gingrich</cp:lastModifiedBy>
  <cp:revision>15</cp:revision>
  <dcterms:created xsi:type="dcterms:W3CDTF">2022-01-06T20:09:00Z</dcterms:created>
  <dcterms:modified xsi:type="dcterms:W3CDTF">2023-03-22T16:48:00Z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0x0101008FD57A080F54CC4081D03656AE4E75F9</vt:lpwstr>
  </property>
</Properties>
</file>