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98D2" w14:textId="54B8072B" w:rsidR="004E1D29" w:rsidRPr="004C6332" w:rsidRDefault="00D32774" w:rsidP="004E1D29">
      <w:pPr>
        <w:pStyle w:val="NoSpacing"/>
        <w:rPr>
          <w:rFonts w:ascii="Times New Roman" w:hAnsi="Times New Roman" w:cs="Times New Roman"/>
          <w:sz w:val="24"/>
          <w:szCs w:val="24"/>
        </w:rPr>
      </w:pPr>
      <w:r w:rsidRPr="004C6332">
        <w:rPr>
          <w:rFonts w:ascii="Times New Roman" w:hAnsi="Times New Roman" w:cs="Times New Roman"/>
          <w:sz w:val="24"/>
          <w:szCs w:val="24"/>
        </w:rPr>
        <w:t>Monument: (</w:t>
      </w:r>
      <w:r w:rsidR="0038074E" w:rsidRPr="004C6332">
        <w:rPr>
          <w:rFonts w:ascii="Times New Roman" w:hAnsi="Times New Roman" w:cs="Times New Roman"/>
          <w:sz w:val="24"/>
          <w:szCs w:val="24"/>
        </w:rPr>
        <w:t>2</w:t>
      </w:r>
      <w:r w:rsidR="00811023" w:rsidRPr="004C6332">
        <w:rPr>
          <w:rFonts w:ascii="Times New Roman" w:hAnsi="Times New Roman" w:cs="Times New Roman"/>
          <w:sz w:val="24"/>
          <w:szCs w:val="24"/>
        </w:rPr>
        <w:t>6</w:t>
      </w:r>
      <w:r w:rsidRPr="004C6332">
        <w:rPr>
          <w:rFonts w:ascii="Times New Roman" w:hAnsi="Times New Roman" w:cs="Times New Roman"/>
          <w:sz w:val="24"/>
          <w:szCs w:val="24"/>
        </w:rPr>
        <w:t xml:space="preserve">) </w:t>
      </w:r>
      <w:r w:rsidR="00811023" w:rsidRPr="004C6332">
        <w:rPr>
          <w:rFonts w:ascii="Times New Roman" w:hAnsi="Times New Roman" w:cs="Times New Roman"/>
          <w:sz w:val="24"/>
          <w:szCs w:val="24"/>
        </w:rPr>
        <w:t>Propylon of Ptolemy II</w:t>
      </w:r>
    </w:p>
    <w:p w14:paraId="51FC292A" w14:textId="0BE36697" w:rsidR="00652C06" w:rsidRPr="004C6332" w:rsidRDefault="00652C06" w:rsidP="00811023">
      <w:pPr>
        <w:rPr>
          <w:rFonts w:ascii="Times New Roman" w:eastAsia="Times New Roman" w:hAnsi="Times New Roman" w:cs="Times New Roman"/>
          <w:iCs w:val="0"/>
          <w:color w:val="000000"/>
          <w:sz w:val="24"/>
          <w:szCs w:val="24"/>
          <w:lang w:eastAsia="zh-CN"/>
        </w:rPr>
      </w:pPr>
      <w:r w:rsidRPr="004C6332">
        <w:rPr>
          <w:rFonts w:ascii="Times New Roman" w:hAnsi="Times New Roman" w:cs="Times New Roman"/>
          <w:sz w:val="24"/>
          <w:szCs w:val="24"/>
        </w:rPr>
        <w:t xml:space="preserve">Date: </w:t>
      </w:r>
      <w:r w:rsidR="00811023" w:rsidRPr="004C6332">
        <w:rPr>
          <w:rFonts w:ascii="Times New Roman" w:eastAsia="Times New Roman" w:hAnsi="Times New Roman" w:cs="Times New Roman"/>
          <w:iCs w:val="0"/>
          <w:color w:val="000000"/>
          <w:sz w:val="24"/>
          <w:szCs w:val="24"/>
          <w:lang w:eastAsia="zh-CN"/>
        </w:rPr>
        <w:t>285-281 B.C.E</w:t>
      </w:r>
      <w:r w:rsidR="00EB771B" w:rsidRPr="004C6332">
        <w:rPr>
          <w:rFonts w:ascii="Times New Roman" w:eastAsia="Times New Roman" w:hAnsi="Times New Roman" w:cs="Times New Roman"/>
          <w:iCs w:val="0"/>
          <w:color w:val="000000"/>
          <w:sz w:val="24"/>
          <w:szCs w:val="24"/>
          <w:lang w:eastAsia="zh-CN"/>
        </w:rPr>
        <w:t xml:space="preserve">.: </w:t>
      </w:r>
      <w:r w:rsidR="00EB771B" w:rsidRPr="004C6332">
        <w:rPr>
          <w:rFonts w:ascii="Times New Roman" w:hAnsi="Times New Roman" w:cs="Times New Roman"/>
          <w:sz w:val="24"/>
          <w:szCs w:val="24"/>
        </w:rPr>
        <w:t>Dedicated by Ptolemy II</w:t>
      </w:r>
    </w:p>
    <w:p w14:paraId="19B888F4" w14:textId="4F060DC0" w:rsidR="00652C06" w:rsidRPr="004C6332" w:rsidRDefault="00652C06" w:rsidP="00811023">
      <w:pPr>
        <w:rPr>
          <w:rFonts w:ascii="Times New Roman" w:eastAsia="Times New Roman" w:hAnsi="Times New Roman" w:cs="Times New Roman"/>
          <w:iCs w:val="0"/>
          <w:color w:val="000000"/>
          <w:sz w:val="24"/>
          <w:szCs w:val="24"/>
          <w:lang w:eastAsia="zh-CN"/>
        </w:rPr>
      </w:pPr>
      <w:r w:rsidRPr="004C6332">
        <w:rPr>
          <w:rFonts w:ascii="Times New Roman" w:hAnsi="Times New Roman" w:cs="Times New Roman"/>
          <w:sz w:val="24"/>
          <w:szCs w:val="24"/>
        </w:rPr>
        <w:t xml:space="preserve">Material: </w:t>
      </w:r>
      <w:r w:rsidR="00811023" w:rsidRPr="004C6332">
        <w:rPr>
          <w:rFonts w:ascii="Times New Roman" w:eastAsia="Times New Roman" w:hAnsi="Times New Roman" w:cs="Times New Roman"/>
          <w:iCs w:val="0"/>
          <w:color w:val="000000"/>
          <w:sz w:val="24"/>
          <w:szCs w:val="24"/>
          <w:lang w:eastAsia="zh-CN"/>
        </w:rPr>
        <w:t xml:space="preserve">Limestone, Thasian marble, </w:t>
      </w:r>
      <w:proofErr w:type="spellStart"/>
      <w:r w:rsidR="00811023" w:rsidRPr="004C6332">
        <w:rPr>
          <w:rFonts w:ascii="Times New Roman" w:eastAsia="Times New Roman" w:hAnsi="Times New Roman" w:cs="Times New Roman"/>
          <w:iCs w:val="0"/>
          <w:color w:val="000000"/>
          <w:sz w:val="24"/>
          <w:szCs w:val="24"/>
          <w:lang w:eastAsia="zh-CN"/>
        </w:rPr>
        <w:t>Proconnessian</w:t>
      </w:r>
      <w:proofErr w:type="spellEnd"/>
      <w:r w:rsidR="00811023" w:rsidRPr="004C6332">
        <w:rPr>
          <w:rFonts w:ascii="Times New Roman" w:eastAsia="Times New Roman" w:hAnsi="Times New Roman" w:cs="Times New Roman"/>
          <w:iCs w:val="0"/>
          <w:color w:val="000000"/>
          <w:sz w:val="24"/>
          <w:szCs w:val="24"/>
          <w:lang w:eastAsia="zh-CN"/>
        </w:rPr>
        <w:t xml:space="preserve"> marble</w:t>
      </w:r>
    </w:p>
    <w:p w14:paraId="408A3A0C" w14:textId="15825A7E" w:rsidR="00D32774" w:rsidRPr="004C6332" w:rsidRDefault="00D32774" w:rsidP="004572D0">
      <w:pPr>
        <w:pStyle w:val="NoSpacing"/>
        <w:rPr>
          <w:rFonts w:ascii="Times New Roman" w:eastAsia="Times New Roman" w:hAnsi="Times New Roman" w:cs="Times New Roman"/>
          <w:color w:val="000000"/>
          <w:sz w:val="24"/>
          <w:szCs w:val="24"/>
          <w:lang w:eastAsia="zh-CN"/>
        </w:rPr>
      </w:pPr>
      <w:r w:rsidRPr="004C6332">
        <w:rPr>
          <w:rFonts w:ascii="Times New Roman" w:hAnsi="Times New Roman" w:cs="Times New Roman"/>
          <w:sz w:val="24"/>
          <w:szCs w:val="24"/>
        </w:rPr>
        <w:t xml:space="preserve">Location: </w:t>
      </w:r>
      <w:r w:rsidR="00DD7666" w:rsidRPr="004C6332">
        <w:rPr>
          <w:rFonts w:ascii="Times New Roman" w:eastAsia="Times New Roman" w:hAnsi="Times New Roman" w:cs="Times New Roman"/>
          <w:color w:val="000000"/>
          <w:sz w:val="24"/>
          <w:szCs w:val="24"/>
          <w:lang w:eastAsia="zh-CN"/>
        </w:rPr>
        <w:t>Eastern Hill</w:t>
      </w:r>
    </w:p>
    <w:p w14:paraId="5479E016" w14:textId="0E650668" w:rsidR="00551290" w:rsidRPr="004C6332" w:rsidRDefault="00000000" w:rsidP="004572D0">
      <w:pPr>
        <w:pStyle w:val="NoSpacing"/>
        <w:pBdr>
          <w:bottom w:val="single" w:sz="6" w:space="1" w:color="auto"/>
        </w:pBdr>
        <w:rPr>
          <w:rFonts w:ascii="Times New Roman" w:hAnsi="Times New Roman" w:cs="Times New Roman"/>
          <w:sz w:val="24"/>
          <w:szCs w:val="24"/>
        </w:rPr>
      </w:pPr>
    </w:p>
    <w:p w14:paraId="6052A7FB" w14:textId="77777777" w:rsidR="004057B2" w:rsidRDefault="004057B2" w:rsidP="004572D0">
      <w:pPr>
        <w:pStyle w:val="NoSpacing"/>
        <w:rPr>
          <w:rFonts w:ascii="Times New Roman" w:hAnsi="Times New Roman" w:cs="Times New Roman"/>
          <w:sz w:val="24"/>
          <w:szCs w:val="24"/>
        </w:rPr>
      </w:pPr>
    </w:p>
    <w:p w14:paraId="69B89DA0" w14:textId="5E033D25" w:rsidR="009E2765" w:rsidRDefault="004057B2"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54981A" wp14:editId="0E4724F8">
            <wp:extent cx="2743200" cy="2058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200" cy="2058572"/>
                    </a:xfrm>
                    <a:prstGeom prst="rect">
                      <a:avLst/>
                    </a:prstGeom>
                  </pic:spPr>
                </pic:pic>
              </a:graphicData>
            </a:graphic>
          </wp:inline>
        </w:drawing>
      </w:r>
    </w:p>
    <w:p w14:paraId="3D4DA309" w14:textId="66746E01" w:rsidR="004057B2" w:rsidRDefault="004057B2" w:rsidP="004572D0">
      <w:pPr>
        <w:pStyle w:val="NoSpacing"/>
        <w:rPr>
          <w:rFonts w:ascii="Times New Roman" w:hAnsi="Times New Roman" w:cs="Times New Roman"/>
          <w:sz w:val="24"/>
          <w:szCs w:val="24"/>
        </w:rPr>
      </w:pPr>
    </w:p>
    <w:p w14:paraId="1BACFF1F" w14:textId="0A9762B4" w:rsidR="004057B2" w:rsidRDefault="004057B2" w:rsidP="004572D0">
      <w:pPr>
        <w:pStyle w:val="NoSpacing"/>
        <w:rPr>
          <w:rFonts w:ascii="Times New Roman" w:hAnsi="Times New Roman" w:cs="Times New Roman"/>
          <w:sz w:val="24"/>
          <w:szCs w:val="24"/>
        </w:rPr>
      </w:pPr>
      <w:r>
        <w:rPr>
          <w:rFonts w:ascii="Times New Roman" w:hAnsi="Times New Roman" w:cs="Times New Roman"/>
          <w:sz w:val="24"/>
          <w:szCs w:val="24"/>
        </w:rPr>
        <w:t>Caption: View of the Propylon of Ptolemy II from the south © American Excavations Samothrace</w:t>
      </w:r>
    </w:p>
    <w:p w14:paraId="39ED78B1" w14:textId="77777777" w:rsidR="004057B2" w:rsidRPr="004C6332" w:rsidRDefault="004057B2" w:rsidP="004572D0">
      <w:pPr>
        <w:pStyle w:val="NoSpacing"/>
        <w:rPr>
          <w:rFonts w:ascii="Times New Roman" w:hAnsi="Times New Roman" w:cs="Times New Roman"/>
          <w:sz w:val="24"/>
          <w:szCs w:val="24"/>
        </w:rPr>
      </w:pPr>
    </w:p>
    <w:p w14:paraId="22BF8510" w14:textId="77777777" w:rsidR="00811023" w:rsidRPr="004C6332" w:rsidRDefault="00811023" w:rsidP="00811023">
      <w:pPr>
        <w:rPr>
          <w:rFonts w:ascii="Times New Roman" w:eastAsia="Times New Roman" w:hAnsi="Times New Roman" w:cs="Times New Roman"/>
          <w:iCs w:val="0"/>
          <w:color w:val="000000"/>
          <w:sz w:val="24"/>
          <w:szCs w:val="24"/>
          <w:lang w:eastAsia="zh-CN"/>
        </w:rPr>
      </w:pPr>
      <w:r w:rsidRPr="00811023">
        <w:rPr>
          <w:rFonts w:ascii="Times New Roman" w:eastAsia="Times New Roman" w:hAnsi="Times New Roman" w:cs="Times New Roman"/>
          <w:iCs w:val="0"/>
          <w:color w:val="000000"/>
          <w:sz w:val="24"/>
          <w:szCs w:val="24"/>
          <w:lang w:eastAsia="zh-CN"/>
        </w:rPr>
        <w:t xml:space="preserve">The Propylon of Ptolemy II served as the gatehouse into the Sanctuary of the Great Gods.  Located along the eastern boundary of the Sanctuary, this monumental entryway bridged the ravine of a seasonal torrent and directed visitors into the Sanctuary, marking the transition from unconsecrated to sacred space.  The gatehouse stood at the highest topographical point in the Sanctuary.  It was therefore visible from the northern shore of the island, as well as the southern gate of the ancient city, which was located northeast of the Sanctuary.  Inscriptions on the epistyles of the east and west facades of the Propylon proclaim, “King Ptolemy, son of Ptolemy and </w:t>
      </w:r>
      <w:proofErr w:type="spellStart"/>
      <w:r w:rsidRPr="00811023">
        <w:rPr>
          <w:rFonts w:ascii="Times New Roman" w:eastAsia="Times New Roman" w:hAnsi="Times New Roman" w:cs="Times New Roman"/>
          <w:iCs w:val="0"/>
          <w:color w:val="000000"/>
          <w:sz w:val="24"/>
          <w:szCs w:val="24"/>
          <w:lang w:eastAsia="zh-CN"/>
        </w:rPr>
        <w:t>Berenike</w:t>
      </w:r>
      <w:proofErr w:type="spellEnd"/>
      <w:r w:rsidRPr="00811023">
        <w:rPr>
          <w:rFonts w:ascii="Times New Roman" w:eastAsia="Times New Roman" w:hAnsi="Times New Roman" w:cs="Times New Roman"/>
          <w:iCs w:val="0"/>
          <w:color w:val="000000"/>
          <w:sz w:val="24"/>
          <w:szCs w:val="24"/>
          <w:lang w:eastAsia="zh-CN"/>
        </w:rPr>
        <w:t xml:space="preserve"> the Saviors, to the Great Gods,” indicating that Ptolemy II </w:t>
      </w:r>
      <w:proofErr w:type="spellStart"/>
      <w:r w:rsidRPr="00811023">
        <w:rPr>
          <w:rFonts w:ascii="Times New Roman" w:eastAsia="Times New Roman" w:hAnsi="Times New Roman" w:cs="Times New Roman"/>
          <w:iCs w:val="0"/>
          <w:color w:val="000000"/>
          <w:sz w:val="24"/>
          <w:szCs w:val="24"/>
          <w:lang w:eastAsia="zh-CN"/>
        </w:rPr>
        <w:t>Philadelphos</w:t>
      </w:r>
      <w:proofErr w:type="spellEnd"/>
      <w:r w:rsidRPr="00811023">
        <w:rPr>
          <w:rFonts w:ascii="Times New Roman" w:eastAsia="Times New Roman" w:hAnsi="Times New Roman" w:cs="Times New Roman"/>
          <w:iCs w:val="0"/>
          <w:color w:val="000000"/>
          <w:sz w:val="24"/>
          <w:szCs w:val="24"/>
          <w:lang w:eastAsia="zh-CN"/>
        </w:rPr>
        <w:t xml:space="preserve"> commissioned this monument during his reign over Egypt from 283-246 B.C.</w:t>
      </w:r>
    </w:p>
    <w:p w14:paraId="7301EF04" w14:textId="28607C7F" w:rsidR="00652C06" w:rsidRPr="004C6332" w:rsidRDefault="00652C06" w:rsidP="004572D0">
      <w:pPr>
        <w:pStyle w:val="NoSpacing"/>
        <w:rPr>
          <w:rFonts w:ascii="Times New Roman" w:eastAsia="Times New Roman" w:hAnsi="Times New Roman" w:cs="Times New Roman"/>
          <w:color w:val="000000"/>
          <w:sz w:val="24"/>
          <w:szCs w:val="24"/>
          <w:lang w:eastAsia="zh-CN"/>
        </w:rPr>
      </w:pPr>
    </w:p>
    <w:p w14:paraId="7290E2C4" w14:textId="6573E763" w:rsidR="00811023" w:rsidRPr="004C6332" w:rsidRDefault="00811023" w:rsidP="00811023">
      <w:pPr>
        <w:rPr>
          <w:rFonts w:ascii="Times New Roman" w:eastAsia="Times New Roman" w:hAnsi="Times New Roman" w:cs="Times New Roman"/>
          <w:iCs w:val="0"/>
          <w:color w:val="000000"/>
          <w:sz w:val="24"/>
          <w:szCs w:val="24"/>
          <w:lang w:eastAsia="zh-CN"/>
        </w:rPr>
      </w:pPr>
      <w:r w:rsidRPr="00811023">
        <w:rPr>
          <w:rFonts w:ascii="Times New Roman" w:eastAsia="Times New Roman" w:hAnsi="Times New Roman" w:cs="Times New Roman"/>
          <w:iCs w:val="0"/>
          <w:color w:val="000000"/>
          <w:sz w:val="24"/>
          <w:szCs w:val="24"/>
          <w:lang w:eastAsia="zh-CN"/>
        </w:rPr>
        <w:t xml:space="preserve">The substantial limestone substructures, which are visible today, originally supported a Thasian marble building with two sizeable pedimented hexastyle porches on either side of a double door wall pierced by a narrow entrance passage.  On the east side nearest the ancient city, the porch is constructed in the Ionic Order, while on the west side it is Corinthian.  The column capitals were carved of </w:t>
      </w:r>
      <w:proofErr w:type="spellStart"/>
      <w:r w:rsidRPr="00811023">
        <w:rPr>
          <w:rFonts w:ascii="Times New Roman" w:eastAsia="Times New Roman" w:hAnsi="Times New Roman" w:cs="Times New Roman"/>
          <w:iCs w:val="0"/>
          <w:color w:val="000000"/>
          <w:sz w:val="24"/>
          <w:szCs w:val="24"/>
          <w:lang w:eastAsia="zh-CN"/>
        </w:rPr>
        <w:t>Proconnessian</w:t>
      </w:r>
      <w:proofErr w:type="spellEnd"/>
      <w:r w:rsidRPr="00811023">
        <w:rPr>
          <w:rFonts w:ascii="Times New Roman" w:eastAsia="Times New Roman" w:hAnsi="Times New Roman" w:cs="Times New Roman"/>
          <w:iCs w:val="0"/>
          <w:color w:val="000000"/>
          <w:sz w:val="24"/>
          <w:szCs w:val="24"/>
          <w:lang w:eastAsia="zh-CN"/>
        </w:rPr>
        <w:t xml:space="preserve"> marble.  In addition to the inscribed epistyle, the entablature included a frieze decorated with </w:t>
      </w:r>
      <w:proofErr w:type="spellStart"/>
      <w:r w:rsidRPr="00811023">
        <w:rPr>
          <w:rFonts w:ascii="Times New Roman" w:eastAsia="Times New Roman" w:hAnsi="Times New Roman" w:cs="Times New Roman"/>
          <w:iCs w:val="0"/>
          <w:color w:val="000000"/>
          <w:sz w:val="24"/>
          <w:szCs w:val="24"/>
          <w:lang w:eastAsia="zh-CN"/>
        </w:rPr>
        <w:t>bukrania</w:t>
      </w:r>
      <w:proofErr w:type="spellEnd"/>
      <w:r w:rsidRPr="00811023">
        <w:rPr>
          <w:rFonts w:ascii="Times New Roman" w:eastAsia="Times New Roman" w:hAnsi="Times New Roman" w:cs="Times New Roman"/>
          <w:iCs w:val="0"/>
          <w:color w:val="000000"/>
          <w:sz w:val="24"/>
          <w:szCs w:val="24"/>
          <w:lang w:eastAsia="zh-CN"/>
        </w:rPr>
        <w:t xml:space="preserve"> decorated with knotted fillets and rosettes approximating libation dishes, symbols of sacrifice and libation, as well as a course of dentils.</w:t>
      </w:r>
    </w:p>
    <w:p w14:paraId="1894EB22" w14:textId="41DAC4A4" w:rsidR="00811023" w:rsidRDefault="00811023" w:rsidP="004572D0">
      <w:pPr>
        <w:pStyle w:val="NoSpacing"/>
        <w:rPr>
          <w:rFonts w:ascii="Times New Roman" w:eastAsia="Times New Roman" w:hAnsi="Times New Roman" w:cs="Times New Roman"/>
          <w:color w:val="000000"/>
          <w:sz w:val="24"/>
          <w:szCs w:val="24"/>
          <w:lang w:eastAsia="zh-CN"/>
        </w:rPr>
      </w:pPr>
    </w:p>
    <w:p w14:paraId="00B6AEAF" w14:textId="63BA5750" w:rsidR="006104CC" w:rsidRDefault="00ED021B"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lastRenderedPageBreak/>
        <w:drawing>
          <wp:inline distT="0" distB="0" distL="0" distR="0" wp14:anchorId="7EB48FDF" wp14:editId="49FB1487">
            <wp:extent cx="2743200" cy="18885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743200" cy="1888588"/>
                    </a:xfrm>
                    <a:prstGeom prst="rect">
                      <a:avLst/>
                    </a:prstGeom>
                  </pic:spPr>
                </pic:pic>
              </a:graphicData>
            </a:graphic>
          </wp:inline>
        </w:drawing>
      </w:r>
    </w:p>
    <w:p w14:paraId="2B37D0D8" w14:textId="1753A5D8" w:rsidR="006104CC" w:rsidRDefault="006104CC" w:rsidP="004572D0">
      <w:pPr>
        <w:pStyle w:val="NoSpacing"/>
        <w:rPr>
          <w:rFonts w:ascii="Times New Roman" w:eastAsia="Times New Roman" w:hAnsi="Times New Roman" w:cs="Times New Roman"/>
          <w:color w:val="000000"/>
          <w:sz w:val="24"/>
          <w:szCs w:val="24"/>
          <w:lang w:eastAsia="zh-CN"/>
        </w:rPr>
      </w:pPr>
    </w:p>
    <w:p w14:paraId="7F0E0BDC" w14:textId="3D7971EB" w:rsidR="006104CC" w:rsidRDefault="006104CC"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Restored northern elevation of the Propylon of Ptolemy II</w:t>
      </w:r>
      <w:r w:rsidR="00ED021B">
        <w:rPr>
          <w:rFonts w:ascii="Times New Roman" w:eastAsia="Times New Roman" w:hAnsi="Times New Roman" w:cs="Times New Roman"/>
          <w:color w:val="000000"/>
          <w:sz w:val="24"/>
          <w:szCs w:val="24"/>
          <w:lang w:eastAsia="zh-CN"/>
        </w:rPr>
        <w:t>, showing the barrel vault erected to re-route the eastern torrent</w:t>
      </w:r>
      <w:r>
        <w:rPr>
          <w:rFonts w:ascii="Times New Roman" w:eastAsia="Times New Roman" w:hAnsi="Times New Roman" w:cs="Times New Roman"/>
          <w:color w:val="000000"/>
          <w:sz w:val="24"/>
          <w:szCs w:val="24"/>
          <w:lang w:eastAsia="zh-CN"/>
        </w:rPr>
        <w:t xml:space="preserve"> © American Excavations Samothrace</w:t>
      </w:r>
    </w:p>
    <w:p w14:paraId="7EE97F88" w14:textId="77777777" w:rsidR="006104CC" w:rsidRPr="004C6332" w:rsidRDefault="006104CC" w:rsidP="004572D0">
      <w:pPr>
        <w:pStyle w:val="NoSpacing"/>
        <w:rPr>
          <w:rFonts w:ascii="Times New Roman" w:eastAsia="Times New Roman" w:hAnsi="Times New Roman" w:cs="Times New Roman"/>
          <w:color w:val="000000"/>
          <w:sz w:val="24"/>
          <w:szCs w:val="24"/>
          <w:lang w:eastAsia="zh-CN"/>
        </w:rPr>
      </w:pPr>
    </w:p>
    <w:p w14:paraId="3B4136CA" w14:textId="77777777" w:rsidR="00811023" w:rsidRPr="004C6332" w:rsidRDefault="00811023" w:rsidP="00811023">
      <w:pPr>
        <w:rPr>
          <w:rFonts w:ascii="Times New Roman" w:eastAsia="Times New Roman" w:hAnsi="Times New Roman" w:cs="Times New Roman"/>
          <w:iCs w:val="0"/>
          <w:color w:val="000000"/>
          <w:sz w:val="24"/>
          <w:szCs w:val="24"/>
          <w:lang w:eastAsia="zh-CN"/>
        </w:rPr>
      </w:pPr>
      <w:r w:rsidRPr="00811023">
        <w:rPr>
          <w:rFonts w:ascii="Times New Roman" w:eastAsia="Times New Roman" w:hAnsi="Times New Roman" w:cs="Times New Roman"/>
          <w:iCs w:val="0"/>
          <w:color w:val="000000"/>
          <w:sz w:val="24"/>
          <w:szCs w:val="24"/>
          <w:lang w:eastAsia="zh-CN"/>
        </w:rPr>
        <w:t>When the Propylon was constructed, the builders erected a diagonally oriented barrel vault that re-routed the nearby torrent so that stream, which formed the natural boundary of sacred space, would flow directly beneath the building.  This feat of engineering harnessed the natural environment in order to meet sacred necessities: visitors literally crossed over the boundary to enter the sacred precinct as they passed through the Propylon.  The remains of a staircase on the southern side of the interior door wall of the Propylon gave access to the attic.  We remain uncertain as to the purpose of this staircase.  Did it function to allow for pilgrims to experience some sort of event from above, perhaps noises or calls, as another way of marking their passage into the sacred space of the Sanctuary?  The difference in architectural order on each side of the building likewise served to mark the transition from profane to sacred space.  When entering the Propylon from the ancient city, pilgrims passed through an Ionic porch, while they exited into the Sanctuary through a Corinthian porch.  Not only was the mixing of orders novel, but up until this time, the Corinthian order had also been reserved chiefly for interiors. Here, structural Corinthian columns are employed monumentally and on the exterior. Conceptually, the Corinthian order may have also signaled to visitors who passed through the gatehouse that they were now inside the Sanctuary, a distinctive space in its own right.</w:t>
      </w:r>
    </w:p>
    <w:p w14:paraId="2FBA508F" w14:textId="67732929" w:rsidR="00811023" w:rsidRDefault="00811023" w:rsidP="004572D0">
      <w:pPr>
        <w:pStyle w:val="NoSpacing"/>
        <w:rPr>
          <w:rFonts w:ascii="Times New Roman" w:eastAsia="Times New Roman" w:hAnsi="Times New Roman" w:cs="Times New Roman"/>
          <w:color w:val="000000"/>
          <w:sz w:val="24"/>
          <w:szCs w:val="24"/>
          <w:lang w:eastAsia="zh-CN"/>
        </w:rPr>
      </w:pPr>
    </w:p>
    <w:p w14:paraId="47FEF86A" w14:textId="4E78720E" w:rsidR="00817C5E" w:rsidRDefault="00817C5E"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drawing>
          <wp:inline distT="0" distB="0" distL="0" distR="0" wp14:anchorId="479AFC4E" wp14:editId="7D4EAE0F">
            <wp:extent cx="5943600" cy="240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14:paraId="7DBC5F9E" w14:textId="3EAD3D1D" w:rsidR="00817C5E" w:rsidRDefault="00817C5E" w:rsidP="004572D0">
      <w:pPr>
        <w:pStyle w:val="NoSpacing"/>
        <w:rPr>
          <w:rFonts w:ascii="Times New Roman" w:eastAsia="Times New Roman" w:hAnsi="Times New Roman" w:cs="Times New Roman"/>
          <w:color w:val="000000"/>
          <w:sz w:val="24"/>
          <w:szCs w:val="24"/>
          <w:lang w:eastAsia="zh-CN"/>
        </w:rPr>
      </w:pPr>
    </w:p>
    <w:p w14:paraId="240C1174" w14:textId="12B8E984" w:rsidR="00817C5E" w:rsidRDefault="00817C5E" w:rsidP="00817C5E">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lastRenderedPageBreak/>
        <w:t xml:space="preserve">Caption: (Left) Restored eastern elevation of the Propylon of Ptolemy II (Right) Restored </w:t>
      </w:r>
      <w:r>
        <w:rPr>
          <w:rFonts w:ascii="Times New Roman" w:eastAsia="Times New Roman" w:hAnsi="Times New Roman" w:cs="Times New Roman"/>
          <w:color w:val="000000"/>
          <w:sz w:val="24"/>
          <w:szCs w:val="24"/>
          <w:lang w:eastAsia="zh-CN"/>
        </w:rPr>
        <w:t>western</w:t>
      </w:r>
      <w:r>
        <w:rPr>
          <w:rFonts w:ascii="Times New Roman" w:eastAsia="Times New Roman" w:hAnsi="Times New Roman" w:cs="Times New Roman"/>
          <w:color w:val="000000"/>
          <w:sz w:val="24"/>
          <w:szCs w:val="24"/>
          <w:lang w:eastAsia="zh-CN"/>
        </w:rPr>
        <w:t xml:space="preserve"> elevation of the Propylon of Ptolemy II © American Excavations Samothrace</w:t>
      </w:r>
    </w:p>
    <w:p w14:paraId="32AC733D" w14:textId="77777777" w:rsidR="00652C06" w:rsidRPr="004C6332" w:rsidRDefault="00652C06" w:rsidP="004572D0">
      <w:pPr>
        <w:pStyle w:val="NoSpacing"/>
        <w:rPr>
          <w:rFonts w:ascii="Times New Roman" w:hAnsi="Times New Roman" w:cs="Times New Roman"/>
          <w:sz w:val="24"/>
          <w:szCs w:val="24"/>
        </w:rPr>
      </w:pPr>
    </w:p>
    <w:p w14:paraId="392246D8" w14:textId="05CF5176" w:rsidR="00743453" w:rsidRPr="004C6332" w:rsidRDefault="003E1B37" w:rsidP="004572D0">
      <w:pPr>
        <w:pStyle w:val="NoSpacing"/>
        <w:rPr>
          <w:rFonts w:ascii="Times New Roman" w:hAnsi="Times New Roman" w:cs="Times New Roman"/>
          <w:sz w:val="24"/>
          <w:szCs w:val="24"/>
        </w:rPr>
      </w:pPr>
      <w:r w:rsidRPr="004C6332">
        <w:rPr>
          <w:rFonts w:ascii="Times New Roman" w:hAnsi="Times New Roman" w:cs="Times New Roman"/>
          <w:sz w:val="24"/>
          <w:szCs w:val="24"/>
        </w:rPr>
        <w:t>Selected Bibliography:</w:t>
      </w:r>
    </w:p>
    <w:p w14:paraId="63FAF61E" w14:textId="4EEFD285" w:rsidR="00830837" w:rsidRPr="004C6332" w:rsidRDefault="00D50D46" w:rsidP="004572D0">
      <w:pPr>
        <w:pStyle w:val="NoSpacing"/>
        <w:rPr>
          <w:rFonts w:ascii="Times New Roman" w:hAnsi="Times New Roman" w:cs="Times New Roman"/>
          <w:sz w:val="24"/>
          <w:szCs w:val="24"/>
        </w:rPr>
      </w:pPr>
      <w:r w:rsidRPr="004C6332">
        <w:rPr>
          <w:rFonts w:ascii="Times New Roman" w:hAnsi="Times New Roman" w:cs="Times New Roman"/>
          <w:sz w:val="24"/>
          <w:szCs w:val="24"/>
        </w:rPr>
        <w:t xml:space="preserve">Frazer, A. K. 1990. </w:t>
      </w:r>
      <w:r w:rsidRPr="004C6332">
        <w:rPr>
          <w:rStyle w:val="Emphasis"/>
          <w:rFonts w:ascii="Times New Roman" w:hAnsi="Times New Roman" w:cs="Times New Roman"/>
          <w:sz w:val="24"/>
          <w:szCs w:val="24"/>
        </w:rPr>
        <w:t xml:space="preserve">Samothrace.  Excavations Conducted by the Institute of Fine Arts of New York University. </w:t>
      </w:r>
      <w:r w:rsidRPr="004C6332">
        <w:rPr>
          <w:rFonts w:ascii="Times New Roman" w:hAnsi="Times New Roman" w:cs="Times New Roman"/>
          <w:sz w:val="24"/>
          <w:szCs w:val="24"/>
        </w:rPr>
        <w:t xml:space="preserve">Volume 10, </w:t>
      </w:r>
      <w:r w:rsidRPr="004C6332">
        <w:rPr>
          <w:rStyle w:val="Emphasis"/>
          <w:rFonts w:ascii="Times New Roman" w:hAnsi="Times New Roman" w:cs="Times New Roman"/>
          <w:sz w:val="24"/>
          <w:szCs w:val="24"/>
        </w:rPr>
        <w:t>The Propylon of Ptolemy II</w:t>
      </w:r>
      <w:r w:rsidRPr="004C6332">
        <w:rPr>
          <w:rFonts w:ascii="Times New Roman" w:hAnsi="Times New Roman" w:cs="Times New Roman"/>
          <w:sz w:val="24"/>
          <w:szCs w:val="24"/>
        </w:rPr>
        <w:t>, Princeton.</w:t>
      </w:r>
    </w:p>
    <w:p w14:paraId="5F9C2A56" w14:textId="605402D1" w:rsidR="00EB771B" w:rsidRPr="004C6332" w:rsidRDefault="00D50D46" w:rsidP="004572D0">
      <w:pPr>
        <w:pStyle w:val="NoSpacing"/>
        <w:rPr>
          <w:rFonts w:ascii="Times New Roman" w:hAnsi="Times New Roman" w:cs="Times New Roman"/>
          <w:sz w:val="24"/>
          <w:szCs w:val="24"/>
        </w:rPr>
      </w:pPr>
      <w:r w:rsidRPr="004C6332">
        <w:rPr>
          <w:rFonts w:ascii="Times New Roman" w:hAnsi="Times New Roman" w:cs="Times New Roman"/>
          <w:sz w:val="24"/>
          <w:szCs w:val="24"/>
        </w:rPr>
        <w:t xml:space="preserve">Lehmann, K. 1998. </w:t>
      </w:r>
      <w:r w:rsidRPr="004C6332">
        <w:rPr>
          <w:rStyle w:val="Emphasis"/>
          <w:rFonts w:ascii="Times New Roman" w:hAnsi="Times New Roman" w:cs="Times New Roman"/>
          <w:sz w:val="24"/>
          <w:szCs w:val="24"/>
        </w:rPr>
        <w:t>Samothrace: A Guide to the Excavations and the Museum</w:t>
      </w:r>
      <w:r w:rsidRPr="004C6332">
        <w:rPr>
          <w:rFonts w:ascii="Times New Roman" w:hAnsi="Times New Roman" w:cs="Times New Roman"/>
          <w:sz w:val="24"/>
          <w:szCs w:val="24"/>
        </w:rPr>
        <w:t>, 6th ed. rev. J. R. McCredie, Thessaloniki, pp. 94-96.</w:t>
      </w:r>
    </w:p>
    <w:p w14:paraId="7C580948" w14:textId="77777777" w:rsidR="00EB771B" w:rsidRPr="004C6332" w:rsidRDefault="00EB771B" w:rsidP="004572D0">
      <w:pPr>
        <w:pStyle w:val="NoSpacing"/>
        <w:rPr>
          <w:rFonts w:ascii="Times New Roman" w:hAnsi="Times New Roman" w:cs="Times New Roman"/>
          <w:sz w:val="24"/>
          <w:szCs w:val="24"/>
        </w:rPr>
      </w:pPr>
    </w:p>
    <w:p w14:paraId="12564E6E" w14:textId="072DF3C0" w:rsidR="00743453" w:rsidRPr="004C6332" w:rsidRDefault="00743453" w:rsidP="004572D0">
      <w:pPr>
        <w:pStyle w:val="NoSpacing"/>
        <w:rPr>
          <w:rFonts w:ascii="Times New Roman" w:hAnsi="Times New Roman" w:cs="Times New Roman"/>
          <w:sz w:val="24"/>
          <w:szCs w:val="24"/>
        </w:rPr>
      </w:pPr>
      <w:r w:rsidRPr="004C6332">
        <w:rPr>
          <w:rFonts w:ascii="Times New Roman" w:hAnsi="Times New Roman" w:cs="Times New Roman"/>
          <w:sz w:val="24"/>
          <w:szCs w:val="24"/>
        </w:rPr>
        <w:t>JAG_UNEDITED_20230215</w:t>
      </w:r>
    </w:p>
    <w:p w14:paraId="08ECAE19" w14:textId="77777777" w:rsidR="00743453" w:rsidRPr="004C6332" w:rsidRDefault="00743453" w:rsidP="004572D0">
      <w:pPr>
        <w:pStyle w:val="NoSpacing"/>
        <w:rPr>
          <w:rFonts w:ascii="Times New Roman" w:hAnsi="Times New Roman" w:cs="Times New Roman"/>
          <w:sz w:val="24"/>
          <w:szCs w:val="24"/>
        </w:rPr>
      </w:pPr>
    </w:p>
    <w:sectPr w:rsidR="00743453" w:rsidRPr="004C6332"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1233D4"/>
    <w:rsid w:val="002A0090"/>
    <w:rsid w:val="0038074E"/>
    <w:rsid w:val="003A39DE"/>
    <w:rsid w:val="003A4E68"/>
    <w:rsid w:val="003E1B37"/>
    <w:rsid w:val="004057B2"/>
    <w:rsid w:val="004572D0"/>
    <w:rsid w:val="00480DAB"/>
    <w:rsid w:val="00481795"/>
    <w:rsid w:val="004C6332"/>
    <w:rsid w:val="004E1D29"/>
    <w:rsid w:val="00531F1F"/>
    <w:rsid w:val="006104CC"/>
    <w:rsid w:val="00652C06"/>
    <w:rsid w:val="006A4224"/>
    <w:rsid w:val="00743453"/>
    <w:rsid w:val="00796143"/>
    <w:rsid w:val="008009BD"/>
    <w:rsid w:val="00802268"/>
    <w:rsid w:val="00811023"/>
    <w:rsid w:val="00817C5E"/>
    <w:rsid w:val="00830837"/>
    <w:rsid w:val="00871CDE"/>
    <w:rsid w:val="008B0A2E"/>
    <w:rsid w:val="00901D05"/>
    <w:rsid w:val="009E2765"/>
    <w:rsid w:val="00A05D56"/>
    <w:rsid w:val="00A47B2A"/>
    <w:rsid w:val="00A554BB"/>
    <w:rsid w:val="00A80CD0"/>
    <w:rsid w:val="00A8505C"/>
    <w:rsid w:val="00AF655F"/>
    <w:rsid w:val="00B91A5C"/>
    <w:rsid w:val="00BE1034"/>
    <w:rsid w:val="00C75BC3"/>
    <w:rsid w:val="00CE0F4B"/>
    <w:rsid w:val="00CE1497"/>
    <w:rsid w:val="00D20490"/>
    <w:rsid w:val="00D32774"/>
    <w:rsid w:val="00D50D46"/>
    <w:rsid w:val="00DD7666"/>
    <w:rsid w:val="00E64E56"/>
    <w:rsid w:val="00E94808"/>
    <w:rsid w:val="00EB771B"/>
    <w:rsid w:val="00ED021B"/>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37453459">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295843431">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49377270">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446700745">
      <w:bodyDiv w:val="1"/>
      <w:marLeft w:val="0"/>
      <w:marRight w:val="0"/>
      <w:marTop w:val="0"/>
      <w:marBottom w:val="0"/>
      <w:divBdr>
        <w:top w:val="none" w:sz="0" w:space="0" w:color="auto"/>
        <w:left w:val="none" w:sz="0" w:space="0" w:color="auto"/>
        <w:bottom w:val="none" w:sz="0" w:space="0" w:color="auto"/>
        <w:right w:val="none" w:sz="0" w:space="0" w:color="auto"/>
      </w:divBdr>
    </w:div>
    <w:div w:id="553203190">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10568581">
      <w:bodyDiv w:val="1"/>
      <w:marLeft w:val="0"/>
      <w:marRight w:val="0"/>
      <w:marTop w:val="0"/>
      <w:marBottom w:val="0"/>
      <w:divBdr>
        <w:top w:val="none" w:sz="0" w:space="0" w:color="auto"/>
        <w:left w:val="none" w:sz="0" w:space="0" w:color="auto"/>
        <w:bottom w:val="none" w:sz="0" w:space="0" w:color="auto"/>
        <w:right w:val="none" w:sz="0" w:space="0" w:color="auto"/>
      </w:divBdr>
    </w:div>
    <w:div w:id="72005568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981009780">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64609925">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09243581">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469399796">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882402726">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2476364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8</cp:revision>
  <dcterms:created xsi:type="dcterms:W3CDTF">2023-02-16T00:30:00Z</dcterms:created>
  <dcterms:modified xsi:type="dcterms:W3CDTF">2023-03-01T19:36:00Z</dcterms:modified>
</cp:coreProperties>
</file>