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111B1" w14:textId="23120941" w:rsidR="009E2905" w:rsidRPr="005E5FAB" w:rsidRDefault="0046280E">
      <w:pPr>
        <w:rPr>
          <w:rFonts w:ascii="Times New Roman" w:hAnsi="Times New Roman" w:cs="Times New Roman"/>
          <w:b/>
          <w:bCs/>
        </w:rPr>
      </w:pPr>
      <w:r>
        <w:rPr>
          <w:rFonts w:ascii="Times New Roman" w:hAnsi="Times New Roman" w:cs="Times New Roman"/>
          <w:b/>
          <w:bCs/>
        </w:rPr>
        <w:t xml:space="preserve">Monument: </w:t>
      </w:r>
      <w:r w:rsidR="00384D47" w:rsidRPr="005E5FAB">
        <w:rPr>
          <w:rFonts w:ascii="Times New Roman" w:hAnsi="Times New Roman" w:cs="Times New Roman"/>
          <w:b/>
          <w:bCs/>
        </w:rPr>
        <w:t>(14) Altar Court</w:t>
      </w:r>
    </w:p>
    <w:p w14:paraId="14C2A6A8" w14:textId="2CC00BD8" w:rsidR="00384D47" w:rsidRPr="005E5FAB" w:rsidRDefault="0046280E">
      <w:pPr>
        <w:rPr>
          <w:rFonts w:ascii="Times New Roman" w:hAnsi="Times New Roman" w:cs="Times New Roman"/>
        </w:rPr>
      </w:pPr>
      <w:r>
        <w:rPr>
          <w:rFonts w:ascii="Times New Roman" w:hAnsi="Times New Roman" w:cs="Times New Roman"/>
        </w:rPr>
        <w:t xml:space="preserve">Date: </w:t>
      </w:r>
      <w:r w:rsidR="00384D47" w:rsidRPr="005E5FAB">
        <w:rPr>
          <w:rFonts w:ascii="Times New Roman" w:hAnsi="Times New Roman" w:cs="Times New Roman"/>
        </w:rPr>
        <w:t>Late 4</w:t>
      </w:r>
      <w:r w:rsidR="00384D47" w:rsidRPr="005E5FAB">
        <w:rPr>
          <w:rFonts w:ascii="Times New Roman" w:hAnsi="Times New Roman" w:cs="Times New Roman"/>
          <w:vertAlign w:val="superscript"/>
        </w:rPr>
        <w:t>th</w:t>
      </w:r>
      <w:r w:rsidR="00DD473E">
        <w:rPr>
          <w:rFonts w:ascii="Times New Roman" w:hAnsi="Times New Roman" w:cs="Times New Roman"/>
        </w:rPr>
        <w:t xml:space="preserve">—early </w:t>
      </w:r>
      <w:r w:rsidR="00384D47" w:rsidRPr="005E5FAB">
        <w:rPr>
          <w:rFonts w:ascii="Times New Roman" w:hAnsi="Times New Roman" w:cs="Times New Roman"/>
        </w:rPr>
        <w:t>3</w:t>
      </w:r>
      <w:r w:rsidR="00384D47" w:rsidRPr="005E5FAB">
        <w:rPr>
          <w:rFonts w:ascii="Times New Roman" w:hAnsi="Times New Roman" w:cs="Times New Roman"/>
          <w:vertAlign w:val="superscript"/>
        </w:rPr>
        <w:t>rd</w:t>
      </w:r>
      <w:r w:rsidR="00384D47" w:rsidRPr="005E5FAB">
        <w:rPr>
          <w:rFonts w:ascii="Times New Roman" w:hAnsi="Times New Roman" w:cs="Times New Roman"/>
        </w:rPr>
        <w:t xml:space="preserve"> century B.C.</w:t>
      </w:r>
    </w:p>
    <w:p w14:paraId="4B195DA2" w14:textId="0DB3BA18" w:rsidR="00384D47" w:rsidRPr="005E5FAB" w:rsidRDefault="0046280E">
      <w:pPr>
        <w:rPr>
          <w:rFonts w:ascii="Times New Roman" w:hAnsi="Times New Roman" w:cs="Times New Roman"/>
        </w:rPr>
      </w:pPr>
      <w:r>
        <w:rPr>
          <w:rFonts w:ascii="Times New Roman" w:hAnsi="Times New Roman" w:cs="Times New Roman"/>
        </w:rPr>
        <w:t xml:space="preserve">Material: </w:t>
      </w:r>
      <w:r w:rsidR="00384D47" w:rsidRPr="005E5FAB">
        <w:rPr>
          <w:rFonts w:ascii="Times New Roman" w:hAnsi="Times New Roman" w:cs="Times New Roman"/>
        </w:rPr>
        <w:t>Limestone, Thasian marble, plaster</w:t>
      </w:r>
    </w:p>
    <w:p w14:paraId="2FB4DD13" w14:textId="0F44B351" w:rsidR="00384D47" w:rsidRDefault="0046280E">
      <w:pPr>
        <w:rPr>
          <w:rFonts w:ascii="Times New Roman" w:hAnsi="Times New Roman" w:cs="Times New Roman"/>
        </w:rPr>
      </w:pPr>
      <w:r>
        <w:rPr>
          <w:rFonts w:ascii="Times New Roman" w:hAnsi="Times New Roman" w:cs="Times New Roman"/>
        </w:rPr>
        <w:t xml:space="preserve">Location: </w:t>
      </w:r>
      <w:r w:rsidR="00384D47" w:rsidRPr="005E5FAB">
        <w:rPr>
          <w:rFonts w:ascii="Times New Roman" w:hAnsi="Times New Roman" w:cs="Times New Roman"/>
        </w:rPr>
        <w:t>Central Sanctuary</w:t>
      </w:r>
    </w:p>
    <w:p w14:paraId="2FCE76EF" w14:textId="1EB5775B" w:rsidR="00064C41" w:rsidRDefault="00064C41">
      <w:pPr>
        <w:pBdr>
          <w:bottom w:val="single" w:sz="6" w:space="1" w:color="auto"/>
        </w:pBdr>
        <w:rPr>
          <w:rFonts w:ascii="Times New Roman" w:hAnsi="Times New Roman" w:cs="Times New Roman"/>
        </w:rPr>
      </w:pPr>
    </w:p>
    <w:p w14:paraId="13301D2C" w14:textId="77777777" w:rsidR="00064C41" w:rsidRPr="005E5FAB" w:rsidRDefault="00064C41">
      <w:pPr>
        <w:rPr>
          <w:rFonts w:ascii="Times New Roman" w:hAnsi="Times New Roman" w:cs="Times New Roman"/>
        </w:rPr>
      </w:pPr>
    </w:p>
    <w:p w14:paraId="06204271" w14:textId="04826AD1" w:rsidR="00384D47" w:rsidRPr="005E5FAB" w:rsidRDefault="00FD15FF">
      <w:pPr>
        <w:rPr>
          <w:rFonts w:ascii="Times New Roman" w:hAnsi="Times New Roman" w:cs="Times New Roman"/>
        </w:rPr>
      </w:pPr>
      <w:r>
        <w:rPr>
          <w:rFonts w:ascii="Times New Roman" w:hAnsi="Times New Roman" w:cs="Times New Roman"/>
          <w:noProof/>
        </w:rPr>
        <w:drawing>
          <wp:inline distT="0" distB="0" distL="0" distR="0" wp14:anchorId="435D1EF5" wp14:editId="23F8F4A5">
            <wp:extent cx="2971800" cy="1976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1800" cy="1976755"/>
                    </a:xfrm>
                    <a:prstGeom prst="rect">
                      <a:avLst/>
                    </a:prstGeom>
                  </pic:spPr>
                </pic:pic>
              </a:graphicData>
            </a:graphic>
          </wp:inline>
        </w:drawing>
      </w:r>
      <w:r w:rsidR="005A6393">
        <w:rPr>
          <w:rFonts w:ascii="Times New Roman" w:hAnsi="Times New Roman" w:cs="Times New Roman"/>
        </w:rPr>
        <w:t xml:space="preserve">  </w:t>
      </w:r>
      <w:r w:rsidR="005A6393">
        <w:rPr>
          <w:rFonts w:ascii="Times New Roman" w:hAnsi="Times New Roman" w:cs="Times New Roman"/>
          <w:noProof/>
        </w:rPr>
        <w:drawing>
          <wp:inline distT="0" distB="0" distL="0" distR="0" wp14:anchorId="21636A5E" wp14:editId="78342BD4">
            <wp:extent cx="2880360" cy="1980248"/>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0360" cy="1980248"/>
                    </a:xfrm>
                    <a:prstGeom prst="rect">
                      <a:avLst/>
                    </a:prstGeom>
                  </pic:spPr>
                </pic:pic>
              </a:graphicData>
            </a:graphic>
          </wp:inline>
        </w:drawing>
      </w:r>
    </w:p>
    <w:p w14:paraId="68022AAE" w14:textId="6CEE478E" w:rsidR="005E5FAB" w:rsidRPr="00064C41" w:rsidRDefault="00B72B6B" w:rsidP="005E5FAB">
      <w:pPr>
        <w:rPr>
          <w:rFonts w:ascii="Times New Roman" w:eastAsia="Times New Roman" w:hAnsi="Times New Roman" w:cs="Times New Roman"/>
          <w:iCs/>
        </w:rPr>
      </w:pPr>
      <w:r>
        <w:rPr>
          <w:rFonts w:ascii="Times New Roman" w:hAnsi="Times New Roman" w:cs="Times New Roman"/>
        </w:rPr>
        <w:t xml:space="preserve">Caption: </w:t>
      </w:r>
      <w:r w:rsidR="001E6C23" w:rsidRPr="00064C41">
        <w:rPr>
          <w:rFonts w:ascii="Times New Roman" w:hAnsi="Times New Roman" w:cs="Times New Roman"/>
        </w:rPr>
        <w:t xml:space="preserve">(Left) The foundations of the Altar Court (Right) </w:t>
      </w:r>
      <w:r w:rsidR="005A6393">
        <w:rPr>
          <w:rFonts w:ascii="Times New Roman" w:hAnsi="Times New Roman" w:cs="Times New Roman"/>
        </w:rPr>
        <w:t xml:space="preserve">Excavation of the Altar Court in 1951. </w:t>
      </w:r>
      <w:r w:rsidR="005E5FAB" w:rsidRPr="00064C41">
        <w:rPr>
          <w:rFonts w:ascii="Times New Roman" w:hAnsi="Times New Roman" w:cs="Times New Roman"/>
        </w:rPr>
        <w:t xml:space="preserve"> </w:t>
      </w:r>
      <w:r w:rsidR="005E5FAB" w:rsidRPr="00064C41">
        <w:rPr>
          <w:rFonts w:ascii="Times New Roman" w:eastAsia="Times New Roman" w:hAnsi="Times New Roman" w:cs="Times New Roman"/>
          <w:iCs/>
        </w:rPr>
        <w:t>© American Excavations Samothrace</w:t>
      </w:r>
    </w:p>
    <w:p w14:paraId="25CD0B20" w14:textId="59240B3D" w:rsidR="001E6C23" w:rsidRPr="00064C41" w:rsidRDefault="001E6C23">
      <w:pPr>
        <w:rPr>
          <w:rFonts w:ascii="Times New Roman" w:hAnsi="Times New Roman" w:cs="Times New Roman"/>
        </w:rPr>
      </w:pPr>
    </w:p>
    <w:p w14:paraId="1AB98A65" w14:textId="19224538" w:rsidR="005E5FAB" w:rsidRDefault="005E5FAB" w:rsidP="005E5FAB">
      <w:pPr>
        <w:rPr>
          <w:rFonts w:ascii="Times New Roman" w:hAnsi="Times New Roman" w:cs="Times New Roman"/>
        </w:rPr>
      </w:pPr>
      <w:r w:rsidRPr="00064C41">
        <w:rPr>
          <w:rFonts w:ascii="Times New Roman" w:hAnsi="Times New Roman" w:cs="Times New Roman"/>
        </w:rPr>
        <w:t>The Altar Court, an unroofed rectangular enclosure, stands to the south of the Hall of Votive Gifts, between the Hieron and the Theater. The structure rests on a foundation composed of large blocks of local gray-brown marine limestone. The building faces westward toward the Theater, and its Thasian marble</w:t>
      </w:r>
      <w:r w:rsidR="004B67CB" w:rsidRPr="00064C41">
        <w:rPr>
          <w:rFonts w:ascii="Times New Roman" w:hAnsi="Times New Roman" w:cs="Times New Roman"/>
        </w:rPr>
        <w:t xml:space="preserve"> façade</w:t>
      </w:r>
      <w:r w:rsidRPr="00064C41">
        <w:rPr>
          <w:rFonts w:ascii="Times New Roman" w:hAnsi="Times New Roman" w:cs="Times New Roman"/>
        </w:rPr>
        <w:t xml:space="preserve"> consists of a Doric colonnade of four columns framed by returning walls. The side (northern and southern) and back (eastern) walls were built with local limestone blocks finished with plaster. On the</w:t>
      </w:r>
      <w:r w:rsidR="004B67CB" w:rsidRPr="00064C41">
        <w:rPr>
          <w:rFonts w:ascii="Times New Roman" w:hAnsi="Times New Roman" w:cs="Times New Roman"/>
        </w:rPr>
        <w:t xml:space="preserve"> façade</w:t>
      </w:r>
      <w:r w:rsidRPr="00064C41">
        <w:rPr>
          <w:rFonts w:ascii="Times New Roman" w:hAnsi="Times New Roman" w:cs="Times New Roman"/>
        </w:rPr>
        <w:t>, metal grills ran across the intercolumniations to control access into the enclosed precinct. The walls were capped with a marble course (</w:t>
      </w:r>
      <w:proofErr w:type="spellStart"/>
      <w:r w:rsidRPr="00064C41">
        <w:rPr>
          <w:rFonts w:ascii="Times New Roman" w:hAnsi="Times New Roman" w:cs="Times New Roman"/>
        </w:rPr>
        <w:t>epikranitis</w:t>
      </w:r>
      <w:proofErr w:type="spellEnd"/>
      <w:r w:rsidRPr="00064C41">
        <w:rPr>
          <w:rFonts w:ascii="Times New Roman" w:hAnsi="Times New Roman" w:cs="Times New Roman"/>
        </w:rPr>
        <w:t>) that carried the crown molding of anta capitals around the entire structure. Although unroofed, the building carried a full entablature.</w:t>
      </w:r>
    </w:p>
    <w:p w14:paraId="650E35C4" w14:textId="77777777" w:rsidR="005A6393" w:rsidRPr="00064C41" w:rsidRDefault="005A6393" w:rsidP="005E5FAB">
      <w:pPr>
        <w:rPr>
          <w:rFonts w:ascii="Times New Roman" w:hAnsi="Times New Roman" w:cs="Times New Roman"/>
        </w:rPr>
      </w:pPr>
    </w:p>
    <w:p w14:paraId="2AF78873" w14:textId="6E00380C" w:rsidR="005E5FAB" w:rsidRPr="00064C41" w:rsidRDefault="005A6393" w:rsidP="005A6393">
      <w:pPr>
        <w:rPr>
          <w:rFonts w:ascii="Times New Roman" w:hAnsi="Times New Roman" w:cs="Times New Roman"/>
        </w:rPr>
      </w:pPr>
      <w:r>
        <w:rPr>
          <w:rFonts w:ascii="Times New Roman" w:hAnsi="Times New Roman" w:cs="Times New Roman"/>
          <w:noProof/>
        </w:rPr>
        <w:drawing>
          <wp:inline distT="0" distB="0" distL="0" distR="0" wp14:anchorId="488602DA" wp14:editId="35487F6F">
            <wp:extent cx="2514600" cy="27934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279346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C46F663" wp14:editId="330C7BD6">
            <wp:extent cx="2971800" cy="27873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3419" t="4564" r="3633" b="6759"/>
                    <a:stretch/>
                  </pic:blipFill>
                  <pic:spPr bwMode="auto">
                    <a:xfrm>
                      <a:off x="0" y="0"/>
                      <a:ext cx="2971800" cy="2787343"/>
                    </a:xfrm>
                    <a:prstGeom prst="rect">
                      <a:avLst/>
                    </a:prstGeom>
                    <a:ln>
                      <a:noFill/>
                    </a:ln>
                    <a:extLst>
                      <a:ext uri="{53640926-AAD7-44D8-BBD7-CCE9431645EC}">
                        <a14:shadowObscured xmlns:a14="http://schemas.microsoft.com/office/drawing/2010/main"/>
                      </a:ext>
                    </a:extLst>
                  </pic:spPr>
                </pic:pic>
              </a:graphicData>
            </a:graphic>
          </wp:inline>
        </w:drawing>
      </w:r>
    </w:p>
    <w:p w14:paraId="67F7D34C" w14:textId="4EECB97D" w:rsidR="005E5FAB" w:rsidRPr="00064C41" w:rsidRDefault="00B72B6B" w:rsidP="005E5FAB">
      <w:pPr>
        <w:rPr>
          <w:rFonts w:ascii="Times New Roman" w:eastAsia="Times New Roman" w:hAnsi="Times New Roman" w:cs="Times New Roman"/>
          <w:iCs/>
        </w:rPr>
      </w:pPr>
      <w:r>
        <w:rPr>
          <w:rFonts w:ascii="Times New Roman" w:hAnsi="Times New Roman" w:cs="Times New Roman"/>
        </w:rPr>
        <w:lastRenderedPageBreak/>
        <w:t xml:space="preserve">Caption: </w:t>
      </w:r>
      <w:r w:rsidR="005A6393">
        <w:rPr>
          <w:rFonts w:ascii="Times New Roman" w:hAnsi="Times New Roman" w:cs="Times New Roman"/>
        </w:rPr>
        <w:t>(Left) Reconstructed view</w:t>
      </w:r>
      <w:r w:rsidR="005E5FAB" w:rsidRPr="00064C41">
        <w:rPr>
          <w:rFonts w:ascii="Times New Roman" w:hAnsi="Times New Roman" w:cs="Times New Roman"/>
        </w:rPr>
        <w:t xml:space="preserve"> of the Altar Court</w:t>
      </w:r>
      <w:r w:rsidR="005A6393">
        <w:rPr>
          <w:rFonts w:ascii="Times New Roman" w:hAnsi="Times New Roman" w:cs="Times New Roman"/>
        </w:rPr>
        <w:t xml:space="preserve"> (Right) Plan of the Altar Court</w:t>
      </w:r>
      <w:r w:rsidR="005E5FAB" w:rsidRPr="00064C41">
        <w:rPr>
          <w:rFonts w:ascii="Times New Roman" w:hAnsi="Times New Roman" w:cs="Times New Roman"/>
        </w:rPr>
        <w:t xml:space="preserve">. </w:t>
      </w:r>
      <w:r w:rsidR="005E5FAB" w:rsidRPr="00064C41">
        <w:rPr>
          <w:rFonts w:ascii="Times New Roman" w:eastAsia="Times New Roman" w:hAnsi="Times New Roman" w:cs="Times New Roman"/>
          <w:iCs/>
        </w:rPr>
        <w:t>© American Excavations Samothrace</w:t>
      </w:r>
    </w:p>
    <w:p w14:paraId="419FEA11" w14:textId="163E08F0" w:rsidR="005E5FAB" w:rsidRPr="00064C41" w:rsidRDefault="005E5FAB">
      <w:pPr>
        <w:rPr>
          <w:rFonts w:ascii="Times New Roman" w:hAnsi="Times New Roman" w:cs="Times New Roman"/>
        </w:rPr>
      </w:pPr>
    </w:p>
    <w:p w14:paraId="35C2B455" w14:textId="1996F541" w:rsidR="005E5FAB" w:rsidRPr="00064C41" w:rsidRDefault="005E5FAB" w:rsidP="005E5FAB">
      <w:pPr>
        <w:rPr>
          <w:rFonts w:ascii="Times New Roman" w:hAnsi="Times New Roman" w:cs="Times New Roman"/>
        </w:rPr>
      </w:pPr>
      <w:r w:rsidRPr="00064C41">
        <w:rPr>
          <w:rFonts w:ascii="Times New Roman" w:hAnsi="Times New Roman" w:cs="Times New Roman"/>
        </w:rPr>
        <w:t>According to the excavator, Karl Lehmann, the precinct enclosed a large outcropping of dark red porphyry, which had served as a sacrificial platform in the Archaic period. When the Altar Court was built, the outcropping was covered with marble slabs to create a monumental altar approached by an ascending staircase. The floor of the enclosure was covered with small, diamond-shaped marble paving stones, in a pattern similar to the central section of the floor of the Dedication of Philip III and Alexander IV.</w:t>
      </w:r>
    </w:p>
    <w:p w14:paraId="5A957C12" w14:textId="3EC9CF08" w:rsidR="005E5FAB" w:rsidRPr="00064C41" w:rsidRDefault="005E5FAB" w:rsidP="005E5FAB">
      <w:pPr>
        <w:rPr>
          <w:rFonts w:ascii="Times New Roman" w:hAnsi="Times New Roman" w:cs="Times New Roman"/>
        </w:rPr>
      </w:pPr>
    </w:p>
    <w:p w14:paraId="5B8674FE" w14:textId="0B440182" w:rsidR="006B17B1" w:rsidRDefault="005A6393" w:rsidP="005E5FAB">
      <w:pPr>
        <w:rPr>
          <w:rFonts w:ascii="Times New Roman" w:hAnsi="Times New Roman" w:cs="Times New Roman"/>
        </w:rPr>
      </w:pPr>
      <w:r>
        <w:rPr>
          <w:rFonts w:ascii="Times New Roman" w:hAnsi="Times New Roman" w:cs="Times New Roman"/>
          <w:noProof/>
        </w:rPr>
        <w:drawing>
          <wp:inline distT="0" distB="0" distL="0" distR="0" wp14:anchorId="55983F8A" wp14:editId="3770B0C6">
            <wp:extent cx="2926080" cy="219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781F79">
        <w:rPr>
          <w:rFonts w:ascii="Times New Roman" w:hAnsi="Times New Roman" w:cs="Times New Roman"/>
        </w:rPr>
        <w:t xml:space="preserve"> </w:t>
      </w:r>
      <w:r>
        <w:rPr>
          <w:rFonts w:ascii="Times New Roman" w:hAnsi="Times New Roman" w:cs="Times New Roman"/>
          <w:noProof/>
        </w:rPr>
        <w:drawing>
          <wp:inline distT="0" distB="0" distL="0" distR="0" wp14:anchorId="4AFA92E5" wp14:editId="2969AFB6">
            <wp:extent cx="2926080" cy="2194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2926080" cy="2194560"/>
                    </a:xfrm>
                    <a:prstGeom prst="rect">
                      <a:avLst/>
                    </a:prstGeom>
                  </pic:spPr>
                </pic:pic>
              </a:graphicData>
            </a:graphic>
          </wp:inline>
        </w:drawing>
      </w:r>
    </w:p>
    <w:p w14:paraId="76F8387D" w14:textId="582FA4EB" w:rsidR="005E5FAB" w:rsidRPr="00064C41" w:rsidRDefault="00B72B6B" w:rsidP="005E5FAB">
      <w:pPr>
        <w:rPr>
          <w:rFonts w:ascii="Times New Roman" w:hAnsi="Times New Roman" w:cs="Times New Roman"/>
        </w:rPr>
      </w:pPr>
      <w:r>
        <w:rPr>
          <w:rFonts w:ascii="Times New Roman" w:hAnsi="Times New Roman" w:cs="Times New Roman"/>
        </w:rPr>
        <w:t xml:space="preserve">Caption: </w:t>
      </w:r>
      <w:r w:rsidR="005E5FAB" w:rsidRPr="00064C41">
        <w:rPr>
          <w:rFonts w:ascii="Times New Roman" w:hAnsi="Times New Roman" w:cs="Times New Roman"/>
        </w:rPr>
        <w:t xml:space="preserve">(Left) Epistyle block with dedicatory inscription (Right) </w:t>
      </w:r>
      <w:r w:rsidR="005A6393">
        <w:rPr>
          <w:rFonts w:ascii="Times New Roman" w:hAnsi="Times New Roman" w:cs="Times New Roman"/>
        </w:rPr>
        <w:t xml:space="preserve">Epistyle block with dedicatory inscription. </w:t>
      </w:r>
      <w:r w:rsidR="00DD473E" w:rsidRPr="00064C41">
        <w:rPr>
          <w:rFonts w:ascii="Times New Roman" w:eastAsia="Times New Roman" w:hAnsi="Times New Roman" w:cs="Times New Roman"/>
          <w:iCs/>
        </w:rPr>
        <w:t>© American Excavations Samothrace</w:t>
      </w:r>
    </w:p>
    <w:p w14:paraId="006DF9F7" w14:textId="77777777" w:rsidR="005E5FAB" w:rsidRPr="00064C41" w:rsidRDefault="005E5FAB" w:rsidP="005E5FAB">
      <w:pPr>
        <w:rPr>
          <w:rFonts w:ascii="Times New Roman" w:hAnsi="Times New Roman" w:cs="Times New Roman"/>
        </w:rPr>
      </w:pPr>
    </w:p>
    <w:p w14:paraId="098CFB79" w14:textId="4F4B777C" w:rsidR="005E5FAB" w:rsidRPr="00064C41" w:rsidRDefault="005E5FAB" w:rsidP="005E5FAB">
      <w:pPr>
        <w:rPr>
          <w:rFonts w:ascii="Times New Roman" w:hAnsi="Times New Roman" w:cs="Times New Roman"/>
        </w:rPr>
      </w:pPr>
      <w:r w:rsidRPr="00064C41">
        <w:rPr>
          <w:rFonts w:ascii="Times New Roman" w:hAnsi="Times New Roman" w:cs="Times New Roman"/>
        </w:rPr>
        <w:t xml:space="preserve">Although several large fragments of the dedicatory inscription carved on the epistyle survive, there is some debate concerning the donor. Lehmann restored the name of the donor as </w:t>
      </w:r>
      <w:proofErr w:type="spellStart"/>
      <w:r w:rsidRPr="00064C41">
        <w:rPr>
          <w:rFonts w:ascii="Times New Roman" w:hAnsi="Times New Roman" w:cs="Times New Roman"/>
        </w:rPr>
        <w:t>Arrhidaios</w:t>
      </w:r>
      <w:proofErr w:type="spellEnd"/>
      <w:r w:rsidRPr="00064C41">
        <w:rPr>
          <w:rFonts w:ascii="Times New Roman" w:hAnsi="Times New Roman" w:cs="Times New Roman"/>
        </w:rPr>
        <w:t xml:space="preserve"> and linked the building with Philip III </w:t>
      </w:r>
      <w:proofErr w:type="spellStart"/>
      <w:r w:rsidRPr="00064C41">
        <w:rPr>
          <w:rFonts w:ascii="Times New Roman" w:hAnsi="Times New Roman" w:cs="Times New Roman"/>
        </w:rPr>
        <w:t>Arrhidaios</w:t>
      </w:r>
      <w:proofErr w:type="spellEnd"/>
      <w:r w:rsidRPr="00064C41">
        <w:rPr>
          <w:rFonts w:ascii="Times New Roman" w:hAnsi="Times New Roman" w:cs="Times New Roman"/>
        </w:rPr>
        <w:t xml:space="preserve">, the </w:t>
      </w:r>
      <w:r w:rsidR="00064C41" w:rsidRPr="00064C41">
        <w:rPr>
          <w:rFonts w:ascii="Times New Roman" w:hAnsi="Times New Roman" w:cs="Times New Roman"/>
        </w:rPr>
        <w:t>half-brother</w:t>
      </w:r>
      <w:r w:rsidRPr="00064C41">
        <w:rPr>
          <w:rFonts w:ascii="Times New Roman" w:hAnsi="Times New Roman" w:cs="Times New Roman"/>
        </w:rPr>
        <w:t xml:space="preserve"> of Alexander the Great. However, noting that Lehmann’s restoration of the extant letters required an unusual spelling, P.M. Fraser suggested a simpler interpretation of the extant letters, instead restoring the dedicator’s name as </w:t>
      </w:r>
      <w:proofErr w:type="spellStart"/>
      <w:r w:rsidRPr="00064C41">
        <w:rPr>
          <w:rFonts w:ascii="Times New Roman" w:hAnsi="Times New Roman" w:cs="Times New Roman"/>
        </w:rPr>
        <w:t>Adaios</w:t>
      </w:r>
      <w:proofErr w:type="spellEnd"/>
      <w:r w:rsidRPr="00064C41">
        <w:rPr>
          <w:rFonts w:ascii="Times New Roman" w:hAnsi="Times New Roman" w:cs="Times New Roman"/>
        </w:rPr>
        <w:t>.</w:t>
      </w:r>
    </w:p>
    <w:p w14:paraId="64E99462" w14:textId="17E96C31" w:rsidR="005E5FAB" w:rsidRPr="00064C41" w:rsidRDefault="005E5FAB">
      <w:pPr>
        <w:rPr>
          <w:rFonts w:ascii="Times New Roman" w:hAnsi="Times New Roman" w:cs="Times New Roman"/>
        </w:rPr>
      </w:pPr>
    </w:p>
    <w:p w14:paraId="34CDC995" w14:textId="6142E40F" w:rsidR="005E5FAB" w:rsidRPr="00064C41" w:rsidRDefault="005E5FAB" w:rsidP="005E5FAB">
      <w:pPr>
        <w:rPr>
          <w:rFonts w:ascii="Times New Roman" w:hAnsi="Times New Roman" w:cs="Times New Roman"/>
        </w:rPr>
      </w:pPr>
      <w:r w:rsidRPr="00064C41">
        <w:rPr>
          <w:rFonts w:ascii="Times New Roman" w:hAnsi="Times New Roman" w:cs="Times New Roman"/>
        </w:rPr>
        <w:t>The Altar Court’s orientation and proximity to the Theater suggests the buildings were in close communication. The Altar Court may have provided a kind of skene, or backdrop, for theatrical performances. The Theater may also have served as a gathering place to witness the rituals performed in the Altar Court.</w:t>
      </w:r>
    </w:p>
    <w:p w14:paraId="4169E4E4" w14:textId="674FDFA6" w:rsidR="00F74468" w:rsidRPr="00064C41" w:rsidRDefault="00F74468" w:rsidP="005E5FAB">
      <w:pPr>
        <w:rPr>
          <w:rFonts w:ascii="Times New Roman" w:hAnsi="Times New Roman" w:cs="Times New Roman"/>
        </w:rPr>
      </w:pPr>
    </w:p>
    <w:p w14:paraId="55BB2C99" w14:textId="3A1DA83E" w:rsidR="005E5FAB" w:rsidRDefault="004B67CB" w:rsidP="005E5FAB">
      <w:pPr>
        <w:rPr>
          <w:rFonts w:ascii="Times New Roman" w:hAnsi="Times New Roman" w:cs="Times New Roman"/>
        </w:rPr>
      </w:pPr>
      <w:r w:rsidRPr="00064C41">
        <w:rPr>
          <w:rFonts w:ascii="Times New Roman" w:hAnsi="Times New Roman" w:cs="Times New Roman"/>
        </w:rPr>
        <w:t>Austrian excavators noted the foundations of the building in the 1870s</w:t>
      </w:r>
      <w:r w:rsidR="00014AD9" w:rsidRPr="00064C41">
        <w:rPr>
          <w:rFonts w:ascii="Times New Roman" w:hAnsi="Times New Roman" w:cs="Times New Roman"/>
        </w:rPr>
        <w:t xml:space="preserve"> and the Fren</w:t>
      </w:r>
      <w:r w:rsidR="00014AD9">
        <w:rPr>
          <w:rFonts w:ascii="Times New Roman" w:hAnsi="Times New Roman" w:cs="Times New Roman"/>
        </w:rPr>
        <w:t xml:space="preserve">ch-Czech team made preliminary observations on </w:t>
      </w:r>
      <w:r>
        <w:rPr>
          <w:rFonts w:ascii="Times New Roman" w:hAnsi="Times New Roman" w:cs="Times New Roman"/>
        </w:rPr>
        <w:t xml:space="preserve">the Altar Court </w:t>
      </w:r>
      <w:r w:rsidR="00014AD9">
        <w:rPr>
          <w:rFonts w:ascii="Times New Roman" w:hAnsi="Times New Roman" w:cs="Times New Roman"/>
        </w:rPr>
        <w:t xml:space="preserve">in 1923. After excavating other </w:t>
      </w:r>
      <w:r w:rsidR="00227F91">
        <w:rPr>
          <w:rFonts w:ascii="Times New Roman" w:hAnsi="Times New Roman" w:cs="Times New Roman"/>
        </w:rPr>
        <w:t xml:space="preserve">structures in the Central Sanctuary, Lehmann turned his attention to the Altar Court in the early 1950s. In 1951 and 1952 he and his team excavated the Altar Court and completed a full study of its architectural remains. </w:t>
      </w:r>
      <w:r w:rsidR="00355009">
        <w:rPr>
          <w:rFonts w:ascii="Times New Roman" w:hAnsi="Times New Roman" w:cs="Times New Roman"/>
        </w:rPr>
        <w:t>From 2016 to 2019,</w:t>
      </w:r>
      <w:r w:rsidR="005E5FAB" w:rsidRPr="005E5FAB">
        <w:rPr>
          <w:rFonts w:ascii="Times New Roman" w:hAnsi="Times New Roman" w:cs="Times New Roman"/>
        </w:rPr>
        <w:t xml:space="preserve"> </w:t>
      </w:r>
      <w:r w:rsidR="005E5FAB">
        <w:rPr>
          <w:rFonts w:ascii="Times New Roman" w:hAnsi="Times New Roman" w:cs="Times New Roman"/>
        </w:rPr>
        <w:t xml:space="preserve">the American team </w:t>
      </w:r>
      <w:r w:rsidR="00355009">
        <w:rPr>
          <w:rFonts w:ascii="Times New Roman" w:hAnsi="Times New Roman" w:cs="Times New Roman"/>
        </w:rPr>
        <w:t>ha</w:t>
      </w:r>
      <w:r w:rsidR="005E5FAB">
        <w:rPr>
          <w:rFonts w:ascii="Times New Roman" w:hAnsi="Times New Roman" w:cs="Times New Roman"/>
        </w:rPr>
        <w:t>s</w:t>
      </w:r>
      <w:r w:rsidR="00355009">
        <w:rPr>
          <w:rFonts w:ascii="Times New Roman" w:hAnsi="Times New Roman" w:cs="Times New Roman"/>
        </w:rPr>
        <w:t xml:space="preserve"> been</w:t>
      </w:r>
      <w:r w:rsidR="005E5FAB" w:rsidRPr="005E5FAB">
        <w:rPr>
          <w:rFonts w:ascii="Times New Roman" w:hAnsi="Times New Roman" w:cs="Times New Roman"/>
        </w:rPr>
        <w:t xml:space="preserve"> exploring more precisely the relationship between the Altar Court, the Theater, and the large terrace to the south of the </w:t>
      </w:r>
      <w:r w:rsidR="00E36680" w:rsidRPr="005E5FAB">
        <w:rPr>
          <w:rFonts w:ascii="Times New Roman" w:hAnsi="Times New Roman" w:cs="Times New Roman"/>
        </w:rPr>
        <w:t>Hieron</w:t>
      </w:r>
      <w:r w:rsidR="005E5FAB" w:rsidRPr="005E5FAB">
        <w:rPr>
          <w:rFonts w:ascii="Times New Roman" w:hAnsi="Times New Roman" w:cs="Times New Roman"/>
        </w:rPr>
        <w:t xml:space="preserve"> and Altar Court.</w:t>
      </w:r>
    </w:p>
    <w:p w14:paraId="0EB906FB" w14:textId="6B4D8E51" w:rsidR="005E5FAB" w:rsidRDefault="005E5FAB" w:rsidP="005E5FAB">
      <w:pPr>
        <w:rPr>
          <w:rFonts w:ascii="Times New Roman" w:hAnsi="Times New Roman" w:cs="Times New Roman"/>
        </w:rPr>
      </w:pPr>
    </w:p>
    <w:p w14:paraId="1C22A109" w14:textId="56A8F2CB" w:rsidR="005E5FAB" w:rsidRDefault="005E5FAB" w:rsidP="005E5FAB">
      <w:pPr>
        <w:rPr>
          <w:rFonts w:ascii="Times New Roman" w:hAnsi="Times New Roman" w:cs="Times New Roman"/>
        </w:rPr>
      </w:pPr>
      <w:r w:rsidRPr="005E5FAB">
        <w:rPr>
          <w:rFonts w:ascii="Times New Roman" w:hAnsi="Times New Roman" w:cs="Times New Roman"/>
        </w:rPr>
        <w:t>Selected Bibliography:</w:t>
      </w:r>
    </w:p>
    <w:p w14:paraId="2A774311" w14:textId="7ED2F7A7" w:rsidR="005E5FAB" w:rsidRDefault="005E5FAB" w:rsidP="005E5FAB">
      <w:pPr>
        <w:rPr>
          <w:rFonts w:ascii="Times New Roman" w:hAnsi="Times New Roman" w:cs="Times New Roman"/>
        </w:rPr>
      </w:pPr>
    </w:p>
    <w:p w14:paraId="7E73AE76" w14:textId="444B1C12" w:rsidR="008E6175" w:rsidRPr="008E6175" w:rsidRDefault="008E6175" w:rsidP="008E6175">
      <w:pPr>
        <w:ind w:left="720" w:hanging="720"/>
        <w:rPr>
          <w:rFonts w:ascii="Times New Roman" w:hAnsi="Times New Roman" w:cs="Times New Roman"/>
        </w:rPr>
      </w:pPr>
      <w:r>
        <w:rPr>
          <w:rFonts w:ascii="Times New Roman" w:hAnsi="Times New Roman" w:cs="Times New Roman"/>
        </w:rPr>
        <w:t xml:space="preserve">Fraser, P. M. 1960. </w:t>
      </w:r>
      <w:r>
        <w:rPr>
          <w:rFonts w:ascii="Times New Roman" w:hAnsi="Times New Roman" w:cs="Times New Roman"/>
          <w:i/>
          <w:iCs/>
        </w:rPr>
        <w:t>Samothrace</w:t>
      </w:r>
      <w:r w:rsidR="00644308">
        <w:rPr>
          <w:rFonts w:ascii="Times New Roman" w:hAnsi="Times New Roman" w:cs="Times New Roman"/>
          <w:i/>
          <w:iCs/>
        </w:rPr>
        <w:t xml:space="preserve">, </w:t>
      </w:r>
      <w:r w:rsidRPr="005E5FAB">
        <w:rPr>
          <w:rFonts w:ascii="Times New Roman" w:hAnsi="Times New Roman" w:cs="Times New Roman"/>
          <w:i/>
          <w:iCs/>
        </w:rPr>
        <w:t>Excavations Conducted by the Institute of Fine Arts of New York University</w:t>
      </w:r>
      <w:r>
        <w:rPr>
          <w:rFonts w:ascii="Times New Roman" w:hAnsi="Times New Roman" w:cs="Times New Roman"/>
          <w:i/>
          <w:iCs/>
        </w:rPr>
        <w:t xml:space="preserve">, </w:t>
      </w:r>
      <w:r w:rsidR="00644308">
        <w:rPr>
          <w:rFonts w:ascii="Times New Roman" w:hAnsi="Times New Roman" w:cs="Times New Roman"/>
        </w:rPr>
        <w:t xml:space="preserve">Vol. 2, I, </w:t>
      </w:r>
      <w:r>
        <w:rPr>
          <w:rFonts w:ascii="Times New Roman" w:hAnsi="Times New Roman" w:cs="Times New Roman"/>
          <w:i/>
          <w:iCs/>
        </w:rPr>
        <w:t>The Inscriptions on Stone</w:t>
      </w:r>
      <w:r>
        <w:rPr>
          <w:rFonts w:ascii="Times New Roman" w:hAnsi="Times New Roman" w:cs="Times New Roman"/>
        </w:rPr>
        <w:t>, New York, pp. 41-48.</w:t>
      </w:r>
    </w:p>
    <w:p w14:paraId="778894FB" w14:textId="77777777" w:rsidR="005E5FAB" w:rsidRPr="005E5FAB" w:rsidRDefault="005E5FAB" w:rsidP="005E5FAB">
      <w:pPr>
        <w:ind w:left="720" w:hanging="720"/>
        <w:rPr>
          <w:rFonts w:ascii="Times New Roman" w:hAnsi="Times New Roman" w:cs="Times New Roman"/>
        </w:rPr>
      </w:pPr>
      <w:r w:rsidRPr="005E5FAB">
        <w:rPr>
          <w:rFonts w:ascii="Times New Roman" w:hAnsi="Times New Roman" w:cs="Times New Roman"/>
        </w:rPr>
        <w:t>Lehmann, K. 1998. </w:t>
      </w:r>
      <w:r w:rsidRPr="005E5FAB">
        <w:rPr>
          <w:rFonts w:ascii="Times New Roman" w:hAnsi="Times New Roman" w:cs="Times New Roman"/>
          <w:i/>
          <w:iCs/>
        </w:rPr>
        <w:t>Samothrace: A Guide to the Excavations and the Museum</w:t>
      </w:r>
      <w:r w:rsidRPr="005E5FAB">
        <w:rPr>
          <w:rFonts w:ascii="Times New Roman" w:hAnsi="Times New Roman" w:cs="Times New Roman"/>
        </w:rPr>
        <w:t>, 6th ed. rev.</w:t>
      </w:r>
      <w:r w:rsidRPr="005E5FAB">
        <w:rPr>
          <w:rFonts w:ascii="Times New Roman" w:hAnsi="Times New Roman" w:cs="Times New Roman"/>
        </w:rPr>
        <w:br/>
        <w:t>J. R. McCredie, Thessaloniki, pp. 89-91.</w:t>
      </w:r>
    </w:p>
    <w:p w14:paraId="4DC862A9" w14:textId="2C8708FF" w:rsidR="005E5FAB" w:rsidRPr="005E5FAB" w:rsidRDefault="005E5FAB" w:rsidP="005E5FAB">
      <w:pPr>
        <w:ind w:left="720" w:hanging="720"/>
        <w:rPr>
          <w:rFonts w:ascii="Times New Roman" w:hAnsi="Times New Roman" w:cs="Times New Roman"/>
        </w:rPr>
      </w:pPr>
      <w:r w:rsidRPr="005E5FAB">
        <w:rPr>
          <w:rFonts w:ascii="Times New Roman" w:hAnsi="Times New Roman" w:cs="Times New Roman"/>
        </w:rPr>
        <w:t>Lehmann, K. and D. Spittle. 1964. </w:t>
      </w:r>
      <w:r w:rsidR="005126A5">
        <w:rPr>
          <w:rFonts w:ascii="Times New Roman" w:hAnsi="Times New Roman" w:cs="Times New Roman"/>
          <w:i/>
          <w:iCs/>
        </w:rPr>
        <w:t xml:space="preserve"> S</w:t>
      </w:r>
      <w:r w:rsidRPr="005E5FAB">
        <w:rPr>
          <w:rFonts w:ascii="Times New Roman" w:hAnsi="Times New Roman" w:cs="Times New Roman"/>
          <w:i/>
          <w:iCs/>
        </w:rPr>
        <w:t>amothrace</w:t>
      </w:r>
      <w:r w:rsidR="00AE7409">
        <w:rPr>
          <w:rFonts w:ascii="Times New Roman" w:hAnsi="Times New Roman" w:cs="Times New Roman"/>
          <w:i/>
          <w:iCs/>
        </w:rPr>
        <w:t xml:space="preserve">, </w:t>
      </w:r>
      <w:r w:rsidRPr="005E5FAB">
        <w:rPr>
          <w:rFonts w:ascii="Times New Roman" w:hAnsi="Times New Roman" w:cs="Times New Roman"/>
          <w:i/>
          <w:iCs/>
        </w:rPr>
        <w:t>Excavations Conducted by the Institute of Fine Arts of New York University</w:t>
      </w:r>
      <w:r w:rsidR="00413FAE">
        <w:rPr>
          <w:rFonts w:ascii="Times New Roman" w:hAnsi="Times New Roman" w:cs="Times New Roman"/>
          <w:i/>
          <w:iCs/>
        </w:rPr>
        <w:t xml:space="preserve">, </w:t>
      </w:r>
      <w:r w:rsidR="00AE7409">
        <w:rPr>
          <w:rFonts w:ascii="Times New Roman" w:hAnsi="Times New Roman" w:cs="Times New Roman"/>
        </w:rPr>
        <w:t xml:space="preserve">Vol. 4, </w:t>
      </w:r>
      <w:r w:rsidR="00AE7409" w:rsidRPr="00AE7409">
        <w:rPr>
          <w:rFonts w:ascii="Times New Roman" w:hAnsi="Times New Roman" w:cs="Times New Roman"/>
        </w:rPr>
        <w:t>II</w:t>
      </w:r>
      <w:r w:rsidR="00AE7409">
        <w:rPr>
          <w:rFonts w:ascii="Times New Roman" w:hAnsi="Times New Roman" w:cs="Times New Roman"/>
        </w:rPr>
        <w:t xml:space="preserve">, </w:t>
      </w:r>
      <w:r w:rsidR="00413FAE" w:rsidRPr="00AE7409">
        <w:rPr>
          <w:rFonts w:ascii="Times New Roman" w:hAnsi="Times New Roman" w:cs="Times New Roman"/>
          <w:i/>
          <w:iCs/>
        </w:rPr>
        <w:t>The</w:t>
      </w:r>
      <w:r w:rsidR="00413FAE">
        <w:rPr>
          <w:rFonts w:ascii="Times New Roman" w:hAnsi="Times New Roman" w:cs="Times New Roman"/>
          <w:i/>
          <w:iCs/>
        </w:rPr>
        <w:t xml:space="preserve"> Altar Court</w:t>
      </w:r>
      <w:r w:rsidR="005126A5">
        <w:rPr>
          <w:rFonts w:ascii="Times New Roman" w:hAnsi="Times New Roman" w:cs="Times New Roman"/>
        </w:rPr>
        <w:t>,</w:t>
      </w:r>
      <w:r w:rsidR="00413FAE">
        <w:rPr>
          <w:rFonts w:ascii="Times New Roman" w:hAnsi="Times New Roman" w:cs="Times New Roman"/>
        </w:rPr>
        <w:t xml:space="preserve"> </w:t>
      </w:r>
      <w:r w:rsidRPr="005E5FAB">
        <w:rPr>
          <w:rFonts w:ascii="Times New Roman" w:hAnsi="Times New Roman" w:cs="Times New Roman"/>
        </w:rPr>
        <w:t>New York.</w:t>
      </w:r>
    </w:p>
    <w:p w14:paraId="1959B00A" w14:textId="77777777" w:rsidR="005E5FAB" w:rsidRPr="005E5FAB" w:rsidRDefault="005E5FAB" w:rsidP="005E5FAB">
      <w:pPr>
        <w:ind w:left="720" w:hanging="720"/>
        <w:rPr>
          <w:rFonts w:ascii="Times New Roman" w:hAnsi="Times New Roman" w:cs="Times New Roman"/>
        </w:rPr>
      </w:pPr>
    </w:p>
    <w:p w14:paraId="08AAD0C3" w14:textId="77777777" w:rsidR="005E5FAB" w:rsidRPr="005E5FAB" w:rsidRDefault="005E5FAB" w:rsidP="005E5FAB">
      <w:pPr>
        <w:rPr>
          <w:rFonts w:ascii="Times New Roman" w:hAnsi="Times New Roman" w:cs="Times New Roman"/>
        </w:rPr>
      </w:pPr>
    </w:p>
    <w:p w14:paraId="70E841F4" w14:textId="77777777" w:rsidR="005E5FAB" w:rsidRPr="005E5FAB" w:rsidRDefault="005E5FAB">
      <w:pPr>
        <w:rPr>
          <w:rFonts w:ascii="Times New Roman" w:hAnsi="Times New Roman" w:cs="Times New Roman"/>
        </w:rPr>
      </w:pPr>
    </w:p>
    <w:sectPr w:rsidR="005E5FAB" w:rsidRPr="005E5FAB" w:rsidSect="009265AA">
      <w:type w:val="continuous"/>
      <w:pgSz w:w="12240" w:h="15840"/>
      <w:pgMar w:top="1440" w:right="1440" w:bottom="1440" w:left="1440" w:header="720" w:footer="720" w:gutter="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rawingGridVerticalSpacing w:val="163"/>
  <w:displayHorizontalDrawingGridEvery w:val="0"/>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47"/>
    <w:rsid w:val="00014AD9"/>
    <w:rsid w:val="00064C41"/>
    <w:rsid w:val="001E6C23"/>
    <w:rsid w:val="00227F91"/>
    <w:rsid w:val="00355009"/>
    <w:rsid w:val="00384D47"/>
    <w:rsid w:val="003A149B"/>
    <w:rsid w:val="00413FAE"/>
    <w:rsid w:val="0046280E"/>
    <w:rsid w:val="004B67CB"/>
    <w:rsid w:val="005126A5"/>
    <w:rsid w:val="005A6393"/>
    <w:rsid w:val="005E5FAB"/>
    <w:rsid w:val="00644308"/>
    <w:rsid w:val="006B17B1"/>
    <w:rsid w:val="00781F79"/>
    <w:rsid w:val="007F2352"/>
    <w:rsid w:val="008E6175"/>
    <w:rsid w:val="00926148"/>
    <w:rsid w:val="009265AA"/>
    <w:rsid w:val="009E2905"/>
    <w:rsid w:val="00AE7409"/>
    <w:rsid w:val="00B72B6B"/>
    <w:rsid w:val="00DD473E"/>
    <w:rsid w:val="00DE6BC9"/>
    <w:rsid w:val="00E36680"/>
    <w:rsid w:val="00E40A79"/>
    <w:rsid w:val="00F74468"/>
    <w:rsid w:val="00FC0BE5"/>
    <w:rsid w:val="00FD15FF"/>
    <w:rsid w:val="00FF3A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E518"/>
  <w15:chartTrackingRefBased/>
  <w15:docId w15:val="{21BF8D5A-B9E5-9D48-AB3F-0261BDC7C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77296">
      <w:bodyDiv w:val="1"/>
      <w:marLeft w:val="0"/>
      <w:marRight w:val="0"/>
      <w:marTop w:val="0"/>
      <w:marBottom w:val="0"/>
      <w:divBdr>
        <w:top w:val="none" w:sz="0" w:space="0" w:color="auto"/>
        <w:left w:val="none" w:sz="0" w:space="0" w:color="auto"/>
        <w:bottom w:val="none" w:sz="0" w:space="0" w:color="auto"/>
        <w:right w:val="none" w:sz="0" w:space="0" w:color="auto"/>
      </w:divBdr>
    </w:div>
    <w:div w:id="734203567">
      <w:bodyDiv w:val="1"/>
      <w:marLeft w:val="0"/>
      <w:marRight w:val="0"/>
      <w:marTop w:val="0"/>
      <w:marBottom w:val="0"/>
      <w:divBdr>
        <w:top w:val="none" w:sz="0" w:space="0" w:color="auto"/>
        <w:left w:val="none" w:sz="0" w:space="0" w:color="auto"/>
        <w:bottom w:val="none" w:sz="0" w:space="0" w:color="auto"/>
        <w:right w:val="none" w:sz="0" w:space="0" w:color="auto"/>
      </w:divBdr>
    </w:div>
    <w:div w:id="809714355">
      <w:bodyDiv w:val="1"/>
      <w:marLeft w:val="0"/>
      <w:marRight w:val="0"/>
      <w:marTop w:val="0"/>
      <w:marBottom w:val="0"/>
      <w:divBdr>
        <w:top w:val="none" w:sz="0" w:space="0" w:color="auto"/>
        <w:left w:val="none" w:sz="0" w:space="0" w:color="auto"/>
        <w:bottom w:val="none" w:sz="0" w:space="0" w:color="auto"/>
        <w:right w:val="none" w:sz="0" w:space="0" w:color="auto"/>
      </w:divBdr>
    </w:div>
    <w:div w:id="860121915">
      <w:bodyDiv w:val="1"/>
      <w:marLeft w:val="0"/>
      <w:marRight w:val="0"/>
      <w:marTop w:val="0"/>
      <w:marBottom w:val="0"/>
      <w:divBdr>
        <w:top w:val="none" w:sz="0" w:space="0" w:color="auto"/>
        <w:left w:val="none" w:sz="0" w:space="0" w:color="auto"/>
        <w:bottom w:val="none" w:sz="0" w:space="0" w:color="auto"/>
        <w:right w:val="none" w:sz="0" w:space="0" w:color="auto"/>
      </w:divBdr>
    </w:div>
    <w:div w:id="1103379397">
      <w:bodyDiv w:val="1"/>
      <w:marLeft w:val="0"/>
      <w:marRight w:val="0"/>
      <w:marTop w:val="0"/>
      <w:marBottom w:val="0"/>
      <w:divBdr>
        <w:top w:val="none" w:sz="0" w:space="0" w:color="auto"/>
        <w:left w:val="none" w:sz="0" w:space="0" w:color="auto"/>
        <w:bottom w:val="none" w:sz="0" w:space="0" w:color="auto"/>
        <w:right w:val="none" w:sz="0" w:space="0" w:color="auto"/>
      </w:divBdr>
    </w:div>
    <w:div w:id="1347057269">
      <w:bodyDiv w:val="1"/>
      <w:marLeft w:val="0"/>
      <w:marRight w:val="0"/>
      <w:marTop w:val="0"/>
      <w:marBottom w:val="0"/>
      <w:divBdr>
        <w:top w:val="none" w:sz="0" w:space="0" w:color="auto"/>
        <w:left w:val="none" w:sz="0" w:space="0" w:color="auto"/>
        <w:bottom w:val="none" w:sz="0" w:space="0" w:color="auto"/>
        <w:right w:val="none" w:sz="0" w:space="0" w:color="auto"/>
      </w:divBdr>
    </w:div>
    <w:div w:id="1412586430">
      <w:bodyDiv w:val="1"/>
      <w:marLeft w:val="0"/>
      <w:marRight w:val="0"/>
      <w:marTop w:val="0"/>
      <w:marBottom w:val="0"/>
      <w:divBdr>
        <w:top w:val="none" w:sz="0" w:space="0" w:color="auto"/>
        <w:left w:val="none" w:sz="0" w:space="0" w:color="auto"/>
        <w:bottom w:val="none" w:sz="0" w:space="0" w:color="auto"/>
        <w:right w:val="none" w:sz="0" w:space="0" w:color="auto"/>
      </w:divBdr>
    </w:div>
    <w:div w:id="1867132859">
      <w:bodyDiv w:val="1"/>
      <w:marLeft w:val="0"/>
      <w:marRight w:val="0"/>
      <w:marTop w:val="0"/>
      <w:marBottom w:val="0"/>
      <w:divBdr>
        <w:top w:val="none" w:sz="0" w:space="0" w:color="auto"/>
        <w:left w:val="none" w:sz="0" w:space="0" w:color="auto"/>
        <w:bottom w:val="none" w:sz="0" w:space="0" w:color="auto"/>
        <w:right w:val="none" w:sz="0" w:space="0" w:color="auto"/>
      </w:divBdr>
    </w:div>
    <w:div w:id="199579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D57A080F54CC4081D03656AE4E75F9" ma:contentTypeVersion="16" ma:contentTypeDescription="Create a new document." ma:contentTypeScope="" ma:versionID="6840a70f35c58b070eae7bfde88ebce2">
  <xsd:schema xmlns:xsd="http://www.w3.org/2001/XMLSchema" xmlns:xs="http://www.w3.org/2001/XMLSchema" xmlns:p="http://schemas.microsoft.com/office/2006/metadata/properties" xmlns:ns2="5db3368f-f7fa-451a-9f6b-e714cdee5798" xmlns:ns3="b6d389b3-efea-4712-8c20-51fe21ef2d15" targetNamespace="http://schemas.microsoft.com/office/2006/metadata/properties" ma:root="true" ma:fieldsID="cc01dde5c0cc77ac3f1ff78bfc571580" ns2:_="" ns3:_="">
    <xsd:import namespace="5db3368f-f7fa-451a-9f6b-e714cdee5798"/>
    <xsd:import namespace="b6d389b3-efea-4712-8c20-51fe21ef2d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3368f-f7fa-451a-9f6b-e714cdee57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92fa3da-db31-45ba-92de-38f16e295a42"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d389b3-efea-4712-8c20-51fe21ef2d1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3e76392-76f2-4356-a997-de7a4819ad75}" ma:internalName="TaxCatchAll" ma:showField="CatchAllData" ma:web="b6d389b3-efea-4712-8c20-51fe21ef2d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6d389b3-efea-4712-8c20-51fe21ef2d15" xsi:nil="true"/>
    <lcf76f155ced4ddcb4097134ff3c332f xmlns="5db3368f-f7fa-451a-9f6b-e714cdee579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0CD49D-B10B-4626-AFFF-89AFC7AC6A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3368f-f7fa-451a-9f6b-e714cdee5798"/>
    <ds:schemaRef ds:uri="b6d389b3-efea-4712-8c20-51fe21ef2d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EEFE47-7C42-45DF-8A84-06CE5383F788}">
  <ds:schemaRefs>
    <ds:schemaRef ds:uri="http://schemas.microsoft.com/sharepoint/v3/contenttype/forms"/>
  </ds:schemaRefs>
</ds:datastoreItem>
</file>

<file path=customXml/itemProps3.xml><?xml version="1.0" encoding="utf-8"?>
<ds:datastoreItem xmlns:ds="http://schemas.openxmlformats.org/officeDocument/2006/customXml" ds:itemID="{0818EB27-F5A1-477E-8E25-47891E03E181}">
  <ds:schemaRefs>
    <ds:schemaRef ds:uri="http://schemas.microsoft.com/office/2006/metadata/properties"/>
    <ds:schemaRef ds:uri="http://schemas.microsoft.com/office/infopath/2007/PartnerControls"/>
    <ds:schemaRef ds:uri="b6d389b3-efea-4712-8c20-51fe21ef2d15"/>
    <ds:schemaRef ds:uri="5db3368f-f7fa-451a-9f6b-e714cdee5798"/>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Glennon</dc:creator>
  <cp:keywords/>
  <dc:description/>
  <cp:lastModifiedBy>Jared Gingrich</cp:lastModifiedBy>
  <cp:revision>15</cp:revision>
  <dcterms:created xsi:type="dcterms:W3CDTF">2022-01-28T19:32:00Z</dcterms:created>
  <dcterms:modified xsi:type="dcterms:W3CDTF">2023-03-22T23:07:00Z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0x0101008FD57A080F54CC4081D03656AE4E75F9</vt:lpwstr>
  </property>
</Properties>
</file>