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E79"/>
          <w:sz w:val="50"/>
        </w:rPr>
        <w:t>MED vs EMD V5.2 Hybrid</w:t>
      </w:r>
    </w:p>
    <w:p>
      <w:pPr>
        <w:jc w:val="center"/>
      </w:pPr>
      <w:r>
        <w:rPr>
          <w:color w:val="2F6F5E"/>
          <w:sz w:val="30"/>
        </w:rPr>
        <w:t>Architecture, Dataset, Flow, Model, and Decision Comparison</w:t>
      </w:r>
    </w:p>
    <w:p>
      <w:pPr>
        <w:jc w:val="center"/>
      </w:pPr>
      <w:r>
        <w:rPr>
          <w:sz w:val="18"/>
        </w:rPr>
        <w:t>Generated 2026-05-09 | Source: Macro Equi-Diff PDF + current EMD implementation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DCEFE8"/>
          </w:tcPr>
          <w:p>
            <w:pPr>
              <w:spacing w:after="20"/>
            </w:pPr>
            <w:r>
              <w:rPr>
                <w:b/>
                <w:color w:val="243447"/>
                <w:sz w:val="20"/>
              </w:rPr>
              <w:t>Main conclusion</w:t>
            </w:r>
          </w:p>
          <w:p>
            <w:pPr>
              <w:spacing w:after="40"/>
            </w:pPr>
            <w:r>
              <w:rPr>
                <w:color w:val="243447"/>
                <w:sz w:val="16"/>
              </w:rPr>
              <w:t>Use EMD V5.2 Hybrid as the current project execution backbone because it is target-specific, reproducible, low-resource, fully audited, and already produces docked/ranked JAK2 candidates. Use MED concepts as the future macrocycle-specialist upgrade, not as a direct drop-in replacement today.</w:t>
            </w:r>
          </w:p>
        </w:tc>
        <w:trPr>
          <w:tblHeader/>
        </w:trPr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F4EBD6"/>
          </w:tcPr>
          <w:p>
            <w:pPr>
              <w:spacing w:after="20"/>
            </w:pPr>
            <w:r>
              <w:rPr>
                <w:b/>
                <w:color w:val="243447"/>
                <w:sz w:val="20"/>
              </w:rPr>
              <w:t>Honesty rule</w:t>
            </w:r>
          </w:p>
          <w:p>
            <w:pPr>
              <w:spacing w:after="40"/>
            </w:pPr>
            <w:r>
              <w:rPr>
                <w:color w:val="243447"/>
                <w:sz w:val="16"/>
              </w:rPr>
              <w:t>EMD V5.2 has not yet surpassed MED on MED's macrocycle-generation benchmark. It has overcome practical implementation gaps for our current project: target-specific data, experimental-structure docking, complete manifests, validation, and final candidate reporting.</w:t>
            </w:r>
          </w:p>
        </w:tc>
        <w:trPr>
          <w:tblHeader/>
        </w:trPr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1. Source Evidence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2232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6048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5760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Use</w:t>
            </w:r>
          </w:p>
        </w:tc>
        <w:trPr>
          <w:tblHeader/>
        </w:trPr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MED source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C:/Users/srira/Downloads/Macro Equi-Diff.pdf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Published-style PDF supplied by user; extracted locally with pypdf.</w:t>
            </w:r>
          </w:p>
        </w:tc>
      </w:tr>
      <w:tr>
        <w:tc>
          <w:tcPr>
            <w:tcW w:type="dxa" w:w="2232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EMD source</w:t>
            </w:r>
          </w:p>
        </w:tc>
        <w:tc>
          <w:tcPr>
            <w:tcW w:type="dxa" w:w="6048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C:\Users\srira\Desktop\new_plan\EMD_V5_2_Hybrid</w:t>
            </w:r>
          </w:p>
        </w:tc>
        <w:tc>
          <w:tcPr>
            <w:tcW w:type="dxa" w:w="5760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Current project implementation folder and generated artifacts.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EMD validation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09_reports/consistency_audit.json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0 failures and 0 warnings in current consistency audit.</w:t>
            </w:r>
          </w:p>
        </w:tc>
      </w:tr>
      <w:tr>
        <w:tc>
          <w:tcPr>
            <w:tcW w:type="dxa" w:w="2232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EMD status</w:t>
            </w:r>
          </w:p>
        </w:tc>
        <w:tc>
          <w:tcPr>
            <w:tcW w:type="dxa" w:w="6048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docs/CURRENT_STATUS.md</w:t>
            </w:r>
          </w:p>
        </w:tc>
        <w:tc>
          <w:tcPr>
            <w:tcW w:type="dxa" w:w="5760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Current implementation status and verified command chain.</w:t>
            </w:r>
          </w:p>
        </w:tc>
      </w:tr>
    </w:tbl>
    <w:p/>
    <w:p>
      <w:pPr>
        <w:pStyle w:val="Heading2"/>
      </w:pPr>
      <w:r>
        <w:rPr>
          <w:color w:val="2F6F5E"/>
        </w:rPr>
        <w:t>MED Facts Extracted From PDF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2592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Fact</w:t>
            </w:r>
          </w:p>
        </w:tc>
        <w:tc>
          <w:tcPr>
            <w:tcW w:type="dxa" w:w="8640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Extracted meaning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Paper location</w:t>
            </w:r>
          </w:p>
        </w:tc>
        <w:trPr>
          <w:tblHeader/>
        </w:trPr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Transformer dataset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ChEMBL-derived macrocycles; fragmented by breaking two single bonds in largest ring; acyclic input and dummy-atom cyclization-site output.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PDF pp. 5-6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Linker constraints</w:t>
            </w:r>
          </w:p>
        </w:tc>
        <w:tc>
          <w:tcPr>
            <w:tcW w:type="dxa" w:w="8640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3-9 structural atoms, no large rings &gt;=7 atoms, and &lt;=25% of macrocycle structural atoms.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PDF p. 5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Diffusion training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GEOM-derived fragment-linker pairs from Zenodo: 282,602 train and 1,251 validation pairs.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PDF p. 5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Test set</w:t>
            </w:r>
          </w:p>
        </w:tc>
        <w:tc>
          <w:tcPr>
            <w:tcW w:type="dxa" w:w="8640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5,551 ZINC pairs from Macformer data.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PDF p. 5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Attachment model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Transformer encoder-decoder; 256-dimensional token embeddings; sinusoidal positional encodings; cross-entropy loss.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PDF pp. 6-7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Transformer training</w:t>
            </w:r>
          </w:p>
        </w:tc>
        <w:tc>
          <w:tcPr>
            <w:tcW w:type="dxa" w:w="8640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Adam optimizer, learning rate 1e-4, up to 40 epochs, batch size 32, NVIDIA A100-SXM4-80GB.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PDF p. 7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Linker model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EDM using EGNN denoising; coordinates centered around anchor COM; E(3)/O(3)-equivariant coordinate and feature prediction.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PDF pp. 8-11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Linker size</w:t>
            </w:r>
          </w:p>
        </w:tc>
        <w:tc>
          <w:tcPr>
            <w:tcW w:type="dxa" w:w="8640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GNN predicts optimal linker length when not specified.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PDF p. 11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Attachment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Requires valid dummy atoms, valence checks, bond formation, canonical SMILES, and macrocycle filter.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PDF pp. 11-13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MED validity</w:t>
            </w:r>
          </w:p>
        </w:tc>
        <w:tc>
          <w:tcPr>
            <w:tcW w:type="dxa" w:w="8640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93.82 +/- 1.02% in Table 1; abstract reports 93.92%.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PDF pp. 2, 15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MED uniqueness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99.94 +/- 0.02%.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PDF p. 15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MED macrocyclization</w:t>
            </w:r>
          </w:p>
        </w:tc>
        <w:tc>
          <w:tcPr>
            <w:tcW w:type="dxa" w:w="8640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99.92 +/- 0.05%.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PDF p. 15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MED linker novelty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82.81 +/- 2.12%.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PDF p. 15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Ablation</w:t>
            </w:r>
          </w:p>
        </w:tc>
        <w:tc>
          <w:tcPr>
            <w:tcW w:type="dxa" w:w="8640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EDM-only with simple valency-based anchors produced valid macrocycles in only 35% of test samples.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PDF p. 14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JAK2 case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Macrocycles for Fedratinib, Ruxolitinib, Sunitinib, and Lenvatinib were docked with PyRx/AutoDock Vina against AlphaFold JAK2.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PDF p. 14</w:t>
            </w:r>
          </w:p>
        </w:tc>
      </w:tr>
      <w:tr>
        <w:tc>
          <w:tcPr>
            <w:tcW w:type="dxa" w:w="2592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JAK2 docking range</w:t>
            </w:r>
          </w:p>
        </w:tc>
        <w:tc>
          <w:tcPr>
            <w:tcW w:type="dxa" w:w="8640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Reported favorable macrocycle binding affinities from about -7.8 to -10.6 kcal/mol.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PDF pp. 16, 20-23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2. Side-by-Side High-Level Difference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58200" cy="4334828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_vs_emd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58200" cy="433482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1944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Dimension</w:t>
            </w:r>
          </w:p>
        </w:tc>
        <w:tc>
          <w:tcPr>
            <w:tcW w:type="dxa" w:w="3384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MED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EMD V5.2 Hybrid</w:t>
            </w:r>
          </w:p>
        </w:tc>
        <w:tc>
          <w:tcPr>
            <w:tcW w:type="dxa" w:w="4464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Decision meaning</w:t>
            </w:r>
          </w:p>
        </w:tc>
        <w:trPr>
          <w:tblHeader/>
        </w:trPr>
      </w:tr>
      <w:tr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Primary goal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Macrocyclize acyclic molecules by generating linkers.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Build a full JAK2 candidate discovery and prioritization pipeline.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Different goals: MED is macrocycle-specialist; EMD is target-specific workflow.</w:t>
            </w:r>
          </w:p>
        </w:tc>
      </w:tr>
      <w:tr>
        <w:tc>
          <w:tcPr>
            <w:tcW w:type="dxa" w:w="1944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Main input</w:t>
            </w:r>
          </w:p>
        </w:tc>
        <w:tc>
          <w:tcPr>
            <w:tcW w:type="dxa" w:w="3384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Acyclic scaffold/fragment needing cyclization.</w:t>
            </w:r>
          </w:p>
        </w:tc>
        <w:tc>
          <w:tcPr>
            <w:tcW w:type="dxa" w:w="3744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JAK2 curated ligands, PDB 5AEP, generated candidates.</w:t>
            </w:r>
          </w:p>
        </w:tc>
        <w:tc>
          <w:tcPr>
            <w:tcW w:type="dxa" w:w="4464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EMD starts from target evidence and ends with ranked candidates.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Core learned model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Transformer + EDM/EGNN + linker size GNN.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New SE3FlowMatching prototype; RDKit/SELFIES baselines; deterministic rankers.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EMD avoids high-resource MED training until data/compute justify it.</w:t>
            </w:r>
          </w:p>
        </w:tc>
      </w:tr>
      <w:tr>
        <w:tc>
          <w:tcPr>
            <w:tcW w:type="dxa" w:w="1944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Training data</w:t>
            </w:r>
          </w:p>
        </w:tc>
        <w:tc>
          <w:tcPr>
            <w:tcW w:type="dxa" w:w="3384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ChEMBL macrocycles plus GEOM/ZINC fragment-linker data.</w:t>
            </w:r>
          </w:p>
        </w:tc>
        <w:tc>
          <w:tcPr>
            <w:tcW w:type="dxa" w:w="3744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204 curated JAK2 ligands and 204 graph tensors locally.</w:t>
            </w:r>
          </w:p>
        </w:tc>
        <w:tc>
          <w:tcPr>
            <w:tcW w:type="dxa" w:w="4464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MED's training data scale is far larger and not directly target-specific.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Target evaluation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JAK2 case study on four acyclic drugs, AlphaFold receptor.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147 current candidates docked against PDB 5AEP co-crystal grid.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EMD gives broader target-specific run evidence.</w:t>
            </w:r>
          </w:p>
        </w:tc>
      </w:tr>
      <w:tr>
        <w:tc>
          <w:tcPr>
            <w:tcW w:type="dxa" w:w="1944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Output now</w:t>
            </w:r>
          </w:p>
        </w:tc>
        <w:tc>
          <w:tcPr>
            <w:tcW w:type="dxa" w:w="3384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Macrocyclic analogs and benchmark macrocyclization metrics.</w:t>
            </w:r>
          </w:p>
        </w:tc>
        <w:tc>
          <w:tcPr>
            <w:tcW w:type="dxa" w:w="3744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595 ranked candidates, 147 docking scores, 5 final scaffold-diverse candidates.</w:t>
            </w:r>
          </w:p>
        </w:tc>
        <w:tc>
          <w:tcPr>
            <w:tcW w:type="dxa" w:w="4464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EMD is operational today; MED is the macrocycle direction to integrate.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3. What EMD V5.2 Overcame Compared With MED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DDEAF6"/>
          </w:tcPr>
          <w:p>
            <w:pPr>
              <w:spacing w:after="20"/>
            </w:pPr>
            <w:r>
              <w:rPr>
                <w:b/>
                <w:color w:val="243447"/>
                <w:sz w:val="20"/>
              </w:rPr>
              <w:t>Precise claim</w:t>
            </w:r>
          </w:p>
          <w:p>
            <w:pPr>
              <w:spacing w:after="40"/>
            </w:pPr>
            <w:r>
              <w:rPr>
                <w:color w:val="243447"/>
                <w:sz w:val="16"/>
              </w:rPr>
              <w:t>EMD overcame project-execution limitations, not MED's published macrocycle benchmark. The current implementation is stronger for a reproducible JAK2 sprint because it proves the whole chain from data to final ranked candidates.</w:t>
            </w:r>
          </w:p>
        </w:tc>
        <w:trPr>
          <w:tblHeader/>
        </w:trPr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1944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MED state</w:t>
            </w:r>
          </w:p>
        </w:tc>
        <w:tc>
          <w:tcPr>
            <w:tcW w:type="dxa" w:w="4392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EMD state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Why this overcomes it</w:t>
            </w:r>
          </w:p>
        </w:tc>
        <w:trPr>
          <w:tblHeader/>
        </w:trPr>
      </w:tr>
      <w:tr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Target specificity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MED case study macrocyclizes four known JAK2 drugs.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EMD curated 204 JAK2 ligands and ranked 595 generated candidates.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Broader JAK2 candidate exploration, not only analogs of four drugs.</w:t>
            </w:r>
          </w:p>
        </w:tc>
      </w:tr>
      <w:tr>
        <w:tc>
          <w:tcPr>
            <w:tcW w:type="dxa" w:w="1944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Receptor evidence</w:t>
            </w:r>
          </w:p>
        </w:tc>
        <w:tc>
          <w:tcPr>
            <w:tcW w:type="dxa" w:w="3312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MED docks against AlphaFold-predicted JAK2.</w:t>
            </w:r>
          </w:p>
        </w:tc>
        <w:tc>
          <w:tcPr>
            <w:tcW w:type="dxa" w:w="4392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EMD docks against PDB 5AEP and infers grid from co-crystallized QUP ligand.</w:t>
            </w:r>
          </w:p>
        </w:tc>
        <w:tc>
          <w:tcPr>
            <w:tcW w:type="dxa" w:w="4320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Ligand-bound experimental structure is a stronger local docking anchor for this sprint.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Reproducibility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PDF describes method and results.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EMD has scripts, manifests, CSV outputs, checkpoints, tests, validation, and audits.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Every stage can be rerun and checked.</w:t>
            </w:r>
          </w:p>
        </w:tc>
      </w:tr>
      <w:tr>
        <w:tc>
          <w:tcPr>
            <w:tcW w:type="dxa" w:w="1944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Low-resource execution</w:t>
            </w:r>
          </w:p>
        </w:tc>
        <w:tc>
          <w:tcPr>
            <w:tcW w:type="dxa" w:w="3312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MED transformer training reports A100-SXM4-80GB usage.</w:t>
            </w:r>
          </w:p>
        </w:tc>
        <w:tc>
          <w:tcPr>
            <w:tcW w:type="dxa" w:w="4392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EMD debug SE(3) gate runs on CPU and baseline/docking pipeline runs locally.</w:t>
            </w:r>
          </w:p>
        </w:tc>
        <w:tc>
          <w:tcPr>
            <w:tcW w:type="dxa" w:w="4320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Fits available hardware and avoids overpromising high-resource training.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Current docking proof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MED reports case-study affinities around -7.8 to -10.6 kcal/mol.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EMD has 147 parsed Vina scores; best -11.13 kcal/mol, median -8.694 kcal/mol.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EMD has current generated candidate docking artifacts with pose files/logs.</w:t>
            </w:r>
          </w:p>
        </w:tc>
      </w:tr>
      <w:tr>
        <w:tc>
          <w:tcPr>
            <w:tcW w:type="dxa" w:w="1944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Quality gates</w:t>
            </w:r>
          </w:p>
        </w:tc>
        <w:tc>
          <w:tcPr>
            <w:tcW w:type="dxa" w:w="3312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MED includes benchmark metrics and ablation.</w:t>
            </w:r>
          </w:p>
        </w:tc>
        <w:tc>
          <w:tcPr>
            <w:tcW w:type="dxa" w:w="4392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EMD has 48/48 validation checks, 12 unit tests, 0 audit failures, 0 audit warnings.</w:t>
            </w:r>
          </w:p>
        </w:tc>
        <w:tc>
          <w:tcPr>
            <w:tcW w:type="dxa" w:w="4320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Implementation correctness is continuously checked.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Candidate decision package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MED emphasizes generation and case-study docking.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EMD has 37 candidate cards and 23 2D molecule images.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EMD is closer to final presentation and prioritization delivery.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4. Why We Did Not Use MED Flow As-Is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1728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Reason</w:t>
            </w:r>
          </w:p>
        </w:tc>
        <w:tc>
          <w:tcPr>
            <w:tcW w:type="dxa" w:w="4248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MED requirement</w:t>
            </w:r>
          </w:p>
        </w:tc>
        <w:tc>
          <w:tcPr>
            <w:tcW w:type="dxa" w:w="4248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Our current evidence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Decision</w:t>
            </w:r>
          </w:p>
        </w:tc>
        <w:trPr>
          <w:tblHeader/>
        </w:trPr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Data mismatch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MED needs macrocycle fragmentation and fragment-linker pairs at large scale.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Our curated JAK2 set has 0 12-20 ring macrocycles and 1 constrained-ring ligand.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Training MED from our local data would be statistically weak.</w:t>
            </w:r>
          </w:p>
        </w:tc>
      </w:tr>
      <w:tr>
        <w:tc>
          <w:tcPr>
            <w:tcW w:type="dxa" w:w="1728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Compute mismatch</w:t>
            </w:r>
          </w:p>
        </w:tc>
        <w:tc>
          <w:tcPr>
            <w:tcW w:type="dxa" w:w="4248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MED transformer training reports A100 80GB GPU conditions.</w:t>
            </w:r>
          </w:p>
        </w:tc>
        <w:tc>
          <w:tcPr>
            <w:tcW w:type="dxa" w:w="4248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Current sprint targets local/Colab-free reproducibility and CPU debug gates.</w:t>
            </w:r>
          </w:p>
        </w:tc>
        <w:tc>
          <w:tcPr>
            <w:tcW w:type="dxa" w:w="3888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 full MED reimplementation would risk unfinished training and missing artifacts.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Objective mismatch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MED optimizes macrocyclization from acyclic precursors.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EMD optimizes target-specific candidate prioritization and docking deliverables.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Our near-term success criterion is a verified JAK2 shortlist, not only macrocycle rate.</w:t>
            </w:r>
          </w:p>
        </w:tc>
      </w:tr>
      <w:tr>
        <w:tc>
          <w:tcPr>
            <w:tcW w:type="dxa" w:w="1728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Implementation risk</w:t>
            </w:r>
          </w:p>
        </w:tc>
        <w:tc>
          <w:tcPr>
            <w:tcW w:type="dxa" w:w="4248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MED requires transformer site predictor, EDM/EGNN linker generator, linker size GNN, attachment validator, and macrocycle filters.</w:t>
            </w:r>
          </w:p>
        </w:tc>
        <w:tc>
          <w:tcPr>
            <w:tcW w:type="dxa" w:w="4248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EMD current code already has runnable modules and complete stage outputs.</w:t>
            </w:r>
          </w:p>
        </w:tc>
        <w:tc>
          <w:tcPr>
            <w:tcW w:type="dxa" w:w="3888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Choosing EMD now minimizes unverified model complexity.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Validation route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MED has strong paper benchmark metrics.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EMD has local reproducibility evidence: manifests, logs, pose files, tests, and audit JSON.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For this project, local proof matters more than importing an untrained complex architecture.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DCEFE8"/>
          </w:tcPr>
          <w:p>
            <w:pPr>
              <w:spacing w:after="20"/>
            </w:pPr>
            <w:r>
              <w:rPr>
                <w:b/>
                <w:color w:val="243447"/>
                <w:sz w:val="20"/>
              </w:rPr>
              <w:t>Best engineering choice</w:t>
            </w:r>
          </w:p>
          <w:p>
            <w:pPr>
              <w:spacing w:after="40"/>
            </w:pPr>
            <w:r>
              <w:rPr>
                <w:color w:val="243447"/>
                <w:sz w:val="16"/>
              </w:rPr>
              <w:t>Do not discard MED. Keep EMD as the execution backbone, then add MED-inspired macrocycle branch after we prepare the right macrocycle/linker data and have GPU training time.</w:t>
            </w:r>
          </w:p>
        </w:tc>
        <w:trPr>
          <w:tblHeader/>
        </w:trPr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5. Architecture and Model-Level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1800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Layer</w:t>
            </w:r>
          </w:p>
        </w:tc>
        <w:tc>
          <w:tcPr>
            <w:tcW w:type="dxa" w:w="3816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MED</w:t>
            </w:r>
          </w:p>
        </w:tc>
        <w:tc>
          <w:tcPr>
            <w:tcW w:type="dxa" w:w="4464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EMD V5.2 Hybrid</w:t>
            </w:r>
          </w:p>
        </w:tc>
        <w:tc>
          <w:tcPr>
            <w:tcW w:type="dxa" w:w="3528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Interpretation</w:t>
            </w:r>
          </w:p>
        </w:tc>
        <w:trPr>
          <w:tblHeader/>
        </w:trPr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Attachment/site selection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Transformer predicts two cyclization anchors.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No learned anchor predictor yet; current generation uses RDKit/SELFIES and ring labels.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Add anchor prediction only when macrocycle branch is promoted.</w:t>
            </w:r>
          </w:p>
        </w:tc>
      </w:tr>
      <w:tr>
        <w:tc>
          <w:tcPr>
            <w:tcW w:type="dxa" w:w="1800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Generative core</w:t>
            </w:r>
          </w:p>
        </w:tc>
        <w:tc>
          <w:tcPr>
            <w:tcW w:type="dxa" w:w="3816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EDM/EGNN linker generation with COM-centered equivariance.</w:t>
            </w:r>
          </w:p>
        </w:tc>
        <w:tc>
          <w:tcPr>
            <w:tcW w:type="dxa" w:w="4464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SE3FlowMatching prototype predicts coordinate vector fields from atom features, coordinates, time, and mask.</w:t>
            </w:r>
          </w:p>
        </w:tc>
        <w:tc>
          <w:tcPr>
            <w:tcW w:type="dxa" w:w="3528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EMD's model is simpler and sprint-safe; MED's model is stronger for linker generation.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Equivariance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E(3)/O(3)-equivariant denoising of linkers.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Coordinate messages based on relative vectors and scalar invariant weights; translation-centered batch coordinates.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EMD keeps geometric bias but avoids full MED complexity for now.</w:t>
            </w:r>
          </w:p>
        </w:tc>
      </w:tr>
      <w:tr>
        <w:tc>
          <w:tcPr>
            <w:tcW w:type="dxa" w:w="1800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Training status</w:t>
            </w:r>
          </w:p>
        </w:tc>
        <w:tc>
          <w:tcPr>
            <w:tcW w:type="dxa" w:w="3816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Paper reports trained transformer and diffusion evaluation.</w:t>
            </w:r>
          </w:p>
        </w:tc>
        <w:tc>
          <w:tcPr>
            <w:tcW w:type="dxa" w:w="4464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Debug gate passed on cpu; loss 21.2362; checkpoint saved.</w:t>
            </w:r>
          </w:p>
        </w:tc>
        <w:tc>
          <w:tcPr>
            <w:tcW w:type="dxa" w:w="3528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EMD neural model is not production-trained; baselines carry current generation.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Scoring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Pharmacokinetic ranking and docking case study.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ADMET/synthesis/safety proxy, Vina docking, pose sanity, scaffold diversity, weighted consensus ranking.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EMD has richer downstream triage for current candidates.</w:t>
            </w:r>
          </w:p>
        </w:tc>
      </w:tr>
      <w:tr>
        <w:tc>
          <w:tcPr>
            <w:tcW w:type="dxa" w:w="1800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Output control</w:t>
            </w:r>
          </w:p>
        </w:tc>
        <w:tc>
          <w:tcPr>
            <w:tcW w:type="dxa" w:w="3816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Strong macrocycle guarantee by design.</w:t>
            </w:r>
          </w:p>
        </w:tc>
        <w:tc>
          <w:tcPr>
            <w:tcW w:type="dxa" w:w="4464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Generated 30 macrocycles out of 595 candidates, but final top 5 are not macrocycles.</w:t>
            </w:r>
          </w:p>
        </w:tc>
        <w:tc>
          <w:tcPr>
            <w:tcW w:type="dxa" w:w="3528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EMD needs a macrocycle-enforced objective if macrocycles must win.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6. Dataset Difference and Proof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2088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Dataset</w:t>
            </w:r>
          </w:p>
        </w:tc>
        <w:tc>
          <w:tcPr>
            <w:tcW w:type="dxa" w:w="4752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MED/EMD fact</w:t>
            </w:r>
          </w:p>
        </w:tc>
        <w:tc>
          <w:tcPr>
            <w:tcW w:type="dxa" w:w="3384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Location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Decision meaning</w:t>
            </w:r>
          </w:p>
        </w:tc>
        <w:trPr>
          <w:tblHeader/>
        </w:trPr>
      </w:tr>
      <w:tr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MED transformer data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ChEMBL macrocycles fragmented into acyclic fragment + linker pairs.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Not present in EMD yet.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Needed for MED-style learned anchor prediction.</w:t>
            </w:r>
          </w:p>
        </w:tc>
      </w:tr>
      <w:tr>
        <w:tc>
          <w:tcPr>
            <w:tcW w:type="dxa" w:w="2088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MED diffusion data</w:t>
            </w:r>
          </w:p>
        </w:tc>
        <w:tc>
          <w:tcPr>
            <w:tcW w:type="dxa" w:w="4752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GEOM-derived 282,602 train / 1,251 validation pairs; 5,551 ZINC test pairs.</w:t>
            </w:r>
          </w:p>
        </w:tc>
        <w:tc>
          <w:tcPr>
            <w:tcW w:type="dxa" w:w="3384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Not imported/trained in current EMD.</w:t>
            </w:r>
          </w:p>
        </w:tc>
        <w:tc>
          <w:tcPr>
            <w:tcW w:type="dxa" w:w="3456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Too large/high-resource for the current verified sprint stage.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EMD curated data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204 JAK2 ligands.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02_curated_data/jak2_curated_ligands.csv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Target-specific starting point.</w:t>
            </w:r>
          </w:p>
        </w:tc>
      </w:tr>
      <w:tr>
        <w:tc>
          <w:tcPr>
            <w:tcW w:type="dxa" w:w="2088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EMD graph data</w:t>
            </w:r>
          </w:p>
        </w:tc>
        <w:tc>
          <w:tcPr>
            <w:tcW w:type="dxa" w:w="4752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204 SE(3) graph tensor entries.</w:t>
            </w:r>
          </w:p>
        </w:tc>
        <w:tc>
          <w:tcPr>
            <w:tcW w:type="dxa" w:w="3384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03_features/ligand_graphs/se3_graphs.pt</w:t>
            </w:r>
          </w:p>
        </w:tc>
        <w:tc>
          <w:tcPr>
            <w:tcW w:type="dxa" w:w="3456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Neural geometry input for SE(3) prototype.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EMD generated data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595 candidates: 250 RDKit and 345 SELFIES.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05_generated_candidates/merged/generated_merged_filtered.csv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Current candidate pool.</w:t>
            </w:r>
          </w:p>
        </w:tc>
      </w:tr>
      <w:tr>
        <w:tc>
          <w:tcPr>
            <w:tcW w:type="dxa" w:w="2088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EMD macrocycle data</w:t>
            </w:r>
          </w:p>
        </w:tc>
        <w:tc>
          <w:tcPr>
            <w:tcW w:type="dxa" w:w="4752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30 (5.0%) generated macrocycles and 84 (14.1%) constrained-ring candidates.</w:t>
            </w:r>
          </w:p>
        </w:tc>
        <w:tc>
          <w:tcPr>
            <w:tcW w:type="dxa" w:w="3384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Final ranking + generated candidate tables</w:t>
            </w:r>
          </w:p>
        </w:tc>
        <w:tc>
          <w:tcPr>
            <w:tcW w:type="dxa" w:w="3456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Macrocycles exist, but selection pressure is not yet macrocycle-first.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EMD docking data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147 scored ligands from 147 completed manifest rows.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06_docking/scores/docking_scores.csv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Current JAK2 prioritization evidence.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7. Metrics: What Can and Cannot Be Compared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72400" cy="3938016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_benchma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98079" cy="3554645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d_cou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98079" cy="355464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F4EBD6"/>
          </w:tcPr>
          <w:p>
            <w:pPr>
              <w:spacing w:after="20"/>
            </w:pPr>
            <w:r>
              <w:rPr>
                <w:b/>
                <w:color w:val="243447"/>
                <w:sz w:val="20"/>
              </w:rPr>
              <w:t>Important comparison rule</w:t>
            </w:r>
          </w:p>
          <w:p>
            <w:pPr>
              <w:spacing w:after="40"/>
            </w:pPr>
            <w:r>
              <w:rPr>
                <w:color w:val="243447"/>
                <w:sz w:val="16"/>
              </w:rPr>
              <w:t>MED benchmark metrics measure macrocyclization on ZINC/linker tasks. EMD current metrics measure implemented JAK2 pipeline completion. They are not the same benchmark and should not be forced into a false leaderboard.</w:t>
            </w:r>
          </w:p>
        </w:tc>
        <w:trPr>
          <w:tblHeader/>
        </w:trPr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Comparison axis</w:t>
            </w:r>
          </w:p>
        </w:tc>
        <w:tc>
          <w:tcPr>
            <w:tcW w:type="dxa" w:w="2016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Preferred now</w:t>
            </w:r>
          </w:p>
        </w:tc>
        <w:tc>
          <w:tcPr>
            <w:tcW w:type="dxa" w:w="8496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Reason</w:t>
            </w:r>
          </w:p>
        </w:tc>
        <w:trPr>
          <w:tblHeader/>
        </w:trPr>
      </w:tr>
      <w:tr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Macrocycle generation benchmark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MED wins today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MED is trained and evaluated for macrocycle closure; EMD currently has macrocycles but not macrocycle-enforced final selection.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End-to-end target workflow</w:t>
            </w:r>
          </w:p>
        </w:tc>
        <w:tc>
          <w:tcPr>
            <w:tcW w:type="dxa" w:w="2016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EMD wins today</w:t>
            </w:r>
          </w:p>
        </w:tc>
        <w:tc>
          <w:tcPr>
            <w:tcW w:type="dxa" w:w="8496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EMD has current local artifacts from raw data through docking, ranking, candidate cards, and audits.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Low-resource reproducibility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EMD wins today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EMD can be rerun locally/Colab-style; MED requires larger specialized training to reproduce fully.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Scientific honesty</w:t>
            </w:r>
          </w:p>
        </w:tc>
        <w:tc>
          <w:tcPr>
            <w:tcW w:type="dxa" w:w="2016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Use both</w:t>
            </w:r>
          </w:p>
        </w:tc>
        <w:tc>
          <w:tcPr>
            <w:tcW w:type="dxa" w:w="8496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MED concepts should upgrade EMD's macrocycle branch; EMD should remain the auditable backbone.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8. Why Not Other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2304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Alternative</w:t>
            </w:r>
          </w:p>
        </w:tc>
        <w:tc>
          <w:tcPr>
            <w:tcW w:type="dxa" w:w="3384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Strength</w:t>
            </w:r>
          </w:p>
        </w:tc>
        <w:tc>
          <w:tcPr>
            <w:tcW w:type="dxa" w:w="4968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Weakness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Decision</w:t>
            </w:r>
          </w:p>
        </w:tc>
        <w:trPr>
          <w:tblHeader/>
        </w:trPr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Macformer only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Sequence-to-sequence macrocyclization.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Deterministic; weaker benchmark values in MED paper; lacks explicit 3D geometry.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Not preferred as main flow.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MacLS only</w:t>
            </w:r>
          </w:p>
        </w:tc>
        <w:tc>
          <w:tcPr>
            <w:tcW w:type="dxa" w:w="3384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Library screening.</w:t>
            </w:r>
          </w:p>
        </w:tc>
        <w:tc>
          <w:tcPr>
            <w:tcW w:type="dxa" w:w="4968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High validity but no linker novelty in MED table; limited to existing library content.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Useful baseline, not discovery core.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Pure EDM only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Diffusion linker generator without learned site selection.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MED ablation reports only 35% valid macrocycle generation under simple valency anchors.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Not enough alone.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RDKit only</w:t>
            </w:r>
          </w:p>
        </w:tc>
        <w:tc>
          <w:tcPr>
            <w:tcW w:type="dxa" w:w="3384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Rule-based transformations.</w:t>
            </w:r>
          </w:p>
        </w:tc>
        <w:tc>
          <w:tcPr>
            <w:tcW w:type="dxa" w:w="4968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Very reproducible but limited de novo novelty and no learned macrocycle closure.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Good baseline, not sufficient alone.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SELFIES only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Token mutation with robust syntax.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Produced our macrocycle pool, but no protein geometry or binding objective by itself.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Useful branch, needs docking/ranking.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Full MED immediate rebuild</w:t>
            </w:r>
          </w:p>
        </w:tc>
        <w:tc>
          <w:tcPr>
            <w:tcW w:type="dxa" w:w="3384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Best macrocycle-specialist direction.</w:t>
            </w:r>
          </w:p>
        </w:tc>
        <w:tc>
          <w:tcPr>
            <w:tcW w:type="dxa" w:w="4968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High data and compute demands; current local dataset lacks macrocycle training density.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Future upgrade, not today's safest core.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Docking-only virtual screening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Score known/generated molecules.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No generative learning, no novelty pressure, can overfit docking artifacts.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Use only as one decision signal.</w:t>
            </w:r>
          </w:p>
        </w:tc>
      </w:tr>
      <w:tr>
        <w:tc>
          <w:tcPr>
            <w:tcW w:type="dxa" w:w="2304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AlphaFold-only receptor docking</w:t>
            </w:r>
          </w:p>
        </w:tc>
        <w:tc>
          <w:tcPr>
            <w:tcW w:type="dxa" w:w="3384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Predicted receptor structure.</w:t>
            </w:r>
          </w:p>
        </w:tc>
        <w:tc>
          <w:tcPr>
            <w:tcW w:type="dxa" w:w="4968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Good fallback, but our PDB 5AEP ligand-bound structure gives a concrete ATP-pocket grid source.</w:t>
            </w:r>
          </w:p>
        </w:tc>
        <w:tc>
          <w:tcPr>
            <w:tcW w:type="dxa" w:w="3024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Not preferred for current JAK2 grid.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9. Recommended Upgrade: EMD-MED Fusion</w:t>
      </w:r>
    </w:p>
    <w:p>
      <w:pPr>
        <w:spacing w:after="100"/>
      </w:pPr>
      <w:r>
        <w:rPr>
          <w:color w:val="243447"/>
          <w:sz w:val="18"/>
        </w:rPr>
        <w:t>The best next version is not MED versus EMD. It is EMD as the reproducible target-specific backbone plus a MED-inspired macrocycle branch trained and validated with the right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1080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Stage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Upgrade</w:t>
            </w:r>
          </w:p>
        </w:tc>
        <w:tc>
          <w:tcPr>
            <w:tcW w:type="dxa" w:w="6264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Implementation detail</w:t>
            </w:r>
          </w:p>
        </w:tc>
        <w:tc>
          <w:tcPr>
            <w:tcW w:type="dxa" w:w="3672"/>
            <w:shd w:fill="1F4E7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Reason</w:t>
            </w:r>
          </w:p>
        </w:tc>
        <w:trPr>
          <w:tblHeader/>
        </w:trPr>
      </w:tr>
      <w:tr>
        <w:tc>
          <w:tcPr>
            <w:tcW w:type="dxa" w:w="10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Step 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Prepare macrocycle/linker dataset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Import GEOM/ZINC linker pairs or build ChEMBL macrocycle fragmentation dataset; store train/val/test manifests.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Needed before training MED-like models.</w:t>
            </w:r>
          </w:p>
        </w:tc>
      </w:tr>
      <w:tr>
        <w:tc>
          <w:tcPr>
            <w:tcW w:type="dxa" w:w="1080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Step 2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Add anchor predictor</w:t>
            </w:r>
          </w:p>
        </w:tc>
        <w:tc>
          <w:tcPr>
            <w:tcW w:type="dxa" w:w="6264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Train transformer or lighter graph anchor scorer for cyclization sites.</w:t>
            </w:r>
          </w:p>
        </w:tc>
        <w:tc>
          <w:tcPr>
            <w:tcW w:type="dxa" w:w="3672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Avoid EDM-only weakness seen in MED ablation.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Step 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Add linker generator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Implement EGNN/EDM linker generation or extend SE3FlowMatching to conditional linker coordinates/features.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Bring MED's macrocycle strength into EMD.</w:t>
            </w:r>
          </w:p>
        </w:tc>
      </w:tr>
      <w:tr>
        <w:tc>
          <w:tcPr>
            <w:tcW w:type="dxa" w:w="1080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Step 4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Attachment validator</w:t>
            </w:r>
          </w:p>
        </w:tc>
        <w:tc>
          <w:tcPr>
            <w:tcW w:type="dxa" w:w="6264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Add dummy atom, valence, connectivity, ring-size, duplicate, and canonicalization checks.</w:t>
            </w:r>
          </w:p>
        </w:tc>
        <w:tc>
          <w:tcPr>
            <w:tcW w:type="dxa" w:w="3672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Chemically valid closure gate.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Step 5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Macrocycle-aware ranking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Add final-candidate constraint or weight boost for 11-20 atom macrocycles when project goal requires macrocycles.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Prevents non-macrocycle final winners.</w:t>
            </w:r>
          </w:p>
        </w:tc>
      </w:tr>
      <w:tr>
        <w:tc>
          <w:tcPr>
            <w:tcW w:type="dxa" w:w="1080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Step 6</w:t>
            </w:r>
          </w:p>
        </w:tc>
        <w:tc>
          <w:tcPr>
            <w:tcW w:type="dxa" w:w="2448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Target-specific scoring</w:t>
            </w:r>
          </w:p>
        </w:tc>
        <w:tc>
          <w:tcPr>
            <w:tcW w:type="dxa" w:w="6264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Run the EMD Vina/pose/ADMET/audit workflow on macrocycle candidates.</w:t>
            </w:r>
          </w:p>
        </w:tc>
        <w:tc>
          <w:tcPr>
            <w:tcW w:type="dxa" w:w="3672"/>
            <w:vAlign w:val="center"/>
            <w:shd w:fill="F8FAF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4"/>
              </w:rPr>
              <w:t>Preserves current reproducibility and JAK2 focus.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10. Final Recommendation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DCEFE8"/>
          </w:tcPr>
          <w:p>
            <w:pPr>
              <w:spacing w:after="20"/>
            </w:pPr>
            <w:r>
              <w:rPr>
                <w:b/>
                <w:color w:val="243447"/>
                <w:sz w:val="20"/>
              </w:rPr>
              <w:t>Decision</w:t>
            </w:r>
          </w:p>
          <w:p>
            <w:pPr>
              <w:spacing w:after="40"/>
            </w:pPr>
            <w:r>
              <w:rPr>
                <w:color w:val="243447"/>
                <w:sz w:val="16"/>
              </w:rPr>
              <w:t>Prefer EMD V5.2 Hybrid for the current implementation and presentation. Prefer MED-inspired modules for the next macrocycle-specific model upgrade.</w:t>
            </w:r>
          </w:p>
        </w:tc>
        <w:trPr>
          <w:tblHeader/>
        </w:trPr>
      </w:tr>
    </w:tbl>
    <w:p/>
    <w:p>
      <w:pPr>
        <w:pStyle w:val="ListBullet"/>
        <w:spacing w:after="40"/>
      </w:pPr>
      <w:r>
        <w:rPr>
          <w:color w:val="243447"/>
          <w:sz w:val="16"/>
        </w:rPr>
        <w:t>Use EMD now because it is already implemented end to end and validated locally.</w:t>
      </w:r>
    </w:p>
    <w:p>
      <w:pPr>
        <w:pStyle w:val="ListBullet"/>
        <w:spacing w:after="40"/>
      </w:pPr>
      <w:r>
        <w:rPr>
          <w:color w:val="243447"/>
          <w:sz w:val="16"/>
        </w:rPr>
        <w:t>Do not claim EMD beats MED on macrocycle generation; instead say EMD solves target-specific deployment gaps MED does not fully cover in the supplied PDF.</w:t>
      </w:r>
    </w:p>
    <w:p>
      <w:pPr>
        <w:pStyle w:val="ListBullet"/>
        <w:spacing w:after="40"/>
      </w:pPr>
      <w:r>
        <w:rPr>
          <w:color w:val="243447"/>
          <w:sz w:val="16"/>
        </w:rPr>
        <w:t>Use MED as evidence that transformer site prediction plus equivariant linker diffusion is the right future macrocycle branch.</w:t>
      </w:r>
    </w:p>
    <w:p>
      <w:pPr>
        <w:pStyle w:val="ListBullet"/>
        <w:spacing w:after="40"/>
      </w:pPr>
      <w:r>
        <w:rPr>
          <w:color w:val="243447"/>
          <w:sz w:val="16"/>
        </w:rPr>
        <w:t>If macrocycles must be final winners, update ranking to enforce macrocycle selection and train/borrow macrocycle-specific linker data.</w:t>
      </w:r>
    </w:p>
    <w:p>
      <w:pPr>
        <w:pStyle w:val="ListBullet"/>
        <w:spacing w:after="40"/>
      </w:pPr>
      <w:r>
        <w:rPr>
          <w:color w:val="243447"/>
          <w:sz w:val="16"/>
        </w:rPr>
        <w:t>Current proof: 595 generated candidates, 147 Vina scores, 5 final candidates, 48/48 validation checks, and 0 audit failures.</w:t>
      </w:r>
    </w:p>
    <w:sectPr w:rsidR="00FC693F" w:rsidRPr="0006063C" w:rsidSect="00034616">
      <w:footerReference w:type="default" r:id="rId12"/>
      <w:pgSz w:w="15840" w:h="12240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4"/>
      </w:rPr>
      <w:t>MED vs EMD V5.2 Hybrid comparison | computational candidates require experimental validation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