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ElectroMacroDiff V5.5: Pocket-Electronic Macrocycle Discovery for JAK2</w:t>
      </w:r>
    </w:p>
    <w:p>
      <w:pPr>
        <w:jc w:val="center"/>
      </w:pPr>
      <w:r>
        <w:rPr>
          <w:i/>
        </w:rPr>
        <w:t>Author 1, Author 2, Author 3, Author 4, Author 5</w:t>
      </w:r>
    </w:p>
    <w:p>
      <w:pPr>
        <w:pStyle w:val="Heading1"/>
      </w:pPr>
      <w:r>
        <w:rPr>
          <w:color w:val="1F4E79"/>
        </w:rPr>
        <w:t>Abstract</w:t>
      </w:r>
    </w:p>
    <w:p>
      <w:pPr>
        <w:jc w:val="both"/>
      </w:pPr>
      <w:r>
        <w:t>Macrocyclic inhibitors are attractive in kinase discovery because their constrained conformations can improve target engagement and selectivity. We present ElectroMacroDiff V5.5, a low-resource computational workflow for JAK2 macrocycle candidate generation and prioritization. The system combines curated JAK2 ligand data, model-guided macrocycle construction, novelty and validity gating, Vina-GPU docking, ADMET and synthesis proxy scoring, pocket-electronic rescoring, and interactive 3D review. The final branch produced 1,113 ranked candidates from 87,287 logged generation attempts, with 1,036 parsed docking scores and a best Vina-GPU score of -12.7 kcal/mol.</w:t>
      </w:r>
    </w:p>
    <w:p>
      <w:pPr>
        <w:pStyle w:val="Heading1"/>
      </w:pPr>
      <w:r>
        <w:rPr>
          <w:color w:val="1F4E79"/>
        </w:rPr>
        <w:t>1. Introduction</w:t>
      </w:r>
    </w:p>
    <w:p>
      <w:pPr>
        <w:jc w:val="both"/>
      </w:pPr>
      <w:r>
        <w:t>JAK2 macrocycle discovery requires chemical validity, pocket fit, and interpretable prioritization. ElectroMacroDiff addresses this by connecting generation to a complete evidence chain rather than reporting isolated generator outputs.</w:t>
      </w:r>
    </w:p>
    <w:p>
      <w:pPr>
        <w:pStyle w:val="Heading1"/>
      </w:pPr>
      <w:r>
        <w:rPr>
          <w:color w:val="1F4E79"/>
        </w:rPr>
        <w:t>2. Methods</w:t>
      </w:r>
    </w:p>
    <w:p>
      <w:pPr>
        <w:jc w:val="both"/>
      </w:pPr>
      <w:r>
        <w:t>The workflow curates JAK2 ligands, generates macrocycles, enforces linker novelty, applies a validity/reward gate, docks candidates against JAK2 5AEP, calculates ADMET and synthesis proxy metrics, and rescoring docked poses using pocket-electronic features.</w:t>
      </w:r>
    </w:p>
    <w:p>
      <w:pPr>
        <w:pStyle w:val="Heading1"/>
      </w:pPr>
      <w:r>
        <w:rPr>
          <w:color w:val="1F4E79"/>
        </w:rPr>
        <w:t>3. Results</w:t>
      </w:r>
    </w:p>
    <w:p>
      <w:pPr>
        <w:jc w:val="both"/>
      </w:pPr>
      <w:r>
        <w:t>The active V5.5 branch generated 1,113 candidates, retained 100% uniqueness, 100% macrocyclization, and 100% linker novelty in the final accepted set. Raw-attempt validity was 1.2751%, reflecting aggressive rejection by the reward and novelty gates.</w:t>
      </w:r>
    </w:p>
    <w:p>
      <w:pPr>
        <w:pStyle w:val="Heading1"/>
      </w:pPr>
      <w:r>
        <w:rPr>
          <w:color w:val="1F4E79"/>
        </w:rPr>
        <w:t>4. Discussion</w:t>
      </w:r>
    </w:p>
    <w:p>
      <w:pPr>
        <w:jc w:val="both"/>
      </w:pPr>
      <w:r>
        <w:t>The project is strongest as a reproducible computational prioritization pipeline. It should not be framed as experimentally validated or as a full protein-conditioned diffusion model. Its value is transparent data-to-dashboard traceability and target-specific JAK2 evidence.</w:t>
      </w:r>
    </w:p>
    <w:p>
      <w:pPr>
        <w:pStyle w:val="Heading1"/>
      </w:pPr>
      <w:r>
        <w:rPr>
          <w:color w:val="1F4E79"/>
        </w:rPr>
        <w:t>5. Conclusion</w:t>
      </w:r>
    </w:p>
    <w:p>
      <w:pPr>
        <w:jc w:val="both"/>
      </w:pPr>
      <w:r>
        <w:t>ElectroMacroDiff V5.5 is ready as a computational research artifact. Future work should train residue-level protein-ligand interaction encoders and align seed poses for true V6 protein-conditioned generation.</w:t>
      </w:r>
    </w:p>
    <w:p>
      <w:r>
        <w:drawing>
          <wp:inline xmlns:a="http://schemas.openxmlformats.org/drawingml/2006/main" xmlns:pic="http://schemas.openxmlformats.org/drawingml/2006/picture">
            <wp:extent cx="5943600" cy="2494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_vs_emd_latest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142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d_v5_5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</w:rPr>
        <w:t>References</w:t>
      </w:r>
    </w:p>
    <w:p>
      <w:pPr>
        <w:pStyle w:val="ListBullet"/>
      </w:pPr>
      <w:r>
        <w:t>Trott and Olson, AutoDock Vina, Journal of Computational Chemistry, 2010.</w:t>
      </w:r>
    </w:p>
    <w:p>
      <w:pPr>
        <w:pStyle w:val="ListBullet"/>
      </w:pPr>
      <w:r>
        <w:t>Ding et al., Vina-GPU 2.0, Journal of Chemical Information and Modeling, 2023.</w:t>
      </w:r>
    </w:p>
    <w:p>
      <w:pPr>
        <w:pStyle w:val="ListBullet"/>
      </w:pPr>
      <w:r>
        <w:t>RDKit open-source cheminformatics.</w:t>
      </w:r>
    </w:p>
    <w:p>
      <w:pPr>
        <w:pStyle w:val="ListBullet"/>
      </w:pPr>
      <w:r>
        <w:t>Rego and Koes, 3Dmol.js, Bioinformatics, 2015.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