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ElectroMacroDiff V5.5 Model Provenance and Training Explanation</w:t>
      </w:r>
    </w:p>
    <w:p>
      <w:pPr>
        <w:jc w:val="center"/>
      </w:pPr>
      <w:r>
        <w:rPr>
          <w:i/>
        </w:rPr>
        <w:t>For reviewer discussion: model source, datasets, pretraining/fine-tuning, and V5.3 vs V5.5 usage.</w:t>
      </w:r>
    </w:p>
    <w:p>
      <w:r>
        <w:drawing>
          <wp:inline xmlns:a="http://schemas.openxmlformats.org/drawingml/2006/main" xmlns:pic="http://schemas.openxmlformats.org/drawingml/2006/picture">
            <wp:extent cx="6583680" cy="3950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d_v55_model_architecture_and_proven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1. Direct Answer</w:t>
      </w:r>
    </w:p>
    <w:p>
      <w:r>
        <w:rPr>
          <w:sz w:val="21"/>
        </w:rPr>
        <w:t>- No MED checkpoints or MED pretrained weights were used. MED was only a benchmark reference.</w:t>
      </w:r>
    </w:p>
    <w:p>
      <w:r>
        <w:rPr>
          <w:sz w:val="21"/>
        </w:rPr>
        <w:t>- All listed checkpoints were trained, fine-tuned, or continued inside this project using project-prepared data.</w:t>
      </w:r>
    </w:p>
    <w:p>
      <w:r>
        <w:rPr>
          <w:sz w:val="21"/>
        </w:rPr>
        <w:t>- The 100% values are final accepted candidate-set properties after filtering, not model training accuracy.</w:t>
      </w:r>
    </w:p>
    <w:p>
      <w:r>
        <w:rPr>
          <w:sz w:val="21"/>
        </w:rPr>
        <w:t>- V5.3 artifacts appear because they are earlier internal project assets reused by the upgraded V5.5 pipeline.</w:t>
      </w:r>
    </w:p>
    <w:p>
      <w:pPr>
        <w:pStyle w:val="Heading1"/>
      </w:pPr>
      <w:r>
        <w:rPr>
          <w:color w:val="1F4E79"/>
        </w:rPr>
        <w:t>2. Why Pretraining and Fine-tuning Were Used</w:t>
      </w:r>
    </w:p>
    <w:p>
      <w:pPr>
        <w:jc w:val="both"/>
      </w:pPr>
      <w:r>
        <w:rPr>
          <w:sz w:val="21"/>
        </w:rPr>
        <w:t>The JAK2-specific macrocycle set is small, so training only on it would be weak. Pretraining on broader macrocycles teaches general macrocycle/linker patterns. Fine-tuning adapts those patterns to JAK2 chemistry. This is project-owned pretraining, not borrowing from 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DEBF7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3408"/>
            <w:vAlign w:val="center"/>
            <w:shd w:fill="DDEBF7"/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3408"/>
            <w:vAlign w:val="center"/>
            <w:shd w:fill="DDEB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Pretraining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1,745 broad macrocycles; 1,667 usable; 52,266 fragment-linker rows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Learn general macrocycle/linker patterns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Fine-tuning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97 usable JAK2 macrocycles; 2,942 fragment-linker rows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Adapt to JAK2-specific macrocycle chemistry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V5.5 upgrade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JAK2 pocket vector + V5.3 internal artifacts + logged attempts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Add pocket/electronic conditioning and reward gating</w:t>
            </w:r>
          </w:p>
        </w:tc>
      </w:tr>
    </w:tbl>
    <w:p/>
    <w:p>
      <w:pPr>
        <w:pStyle w:val="Heading1"/>
      </w:pPr>
      <w:r>
        <w:rPr>
          <w:color w:val="1F4E79"/>
        </w:rPr>
        <w:t>3. Datasets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DEBF7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3408"/>
            <w:vAlign w:val="center"/>
            <w:shd w:fill="DDEBF7"/>
          </w:tcPr>
          <w:p>
            <w:r>
              <w:rPr>
                <w:b/>
                <w:sz w:val="16"/>
              </w:rPr>
              <w:t>Size</w:t>
            </w:r>
          </w:p>
        </w:tc>
        <w:tc>
          <w:tcPr>
            <w:tcW w:type="dxa" w:w="3408"/>
            <w:vAlign w:val="center"/>
            <w:shd w:fill="DDEBF7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JAK2 curated ligands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1,135 unique molecules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Seeds, features, SE(3) graphs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Broad macrocycle pretraining set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1,745 unique molecules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General macrocycle learning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Pretrain fragment-linker pairs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52,266 rows from 1,667 molecules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Linker and novelty reference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JAK2 fragment-linker pairs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2,942 rows from 97 molecules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JAK2 fine-tuning and V5.5 linker policy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Anchor atom pretrain rows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2,642,513 rows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General anchor learning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Anchor atom JAK2 rows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94,247 rows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JAK2 anchor learning and V5.5 GNN labels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Validity/reward attempts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2,845 rows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Reward model training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Final V5.5 attempt log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87,287 proposals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sz w:val="16"/>
              </w:rPr>
              <w:t>Audit evidence, not model accuracy claim</w:t>
            </w:r>
          </w:p>
        </w:tc>
      </w:tr>
    </w:tbl>
    <w:p/>
    <w:p>
      <w:pPr>
        <w:pStyle w:val="Heading1"/>
      </w:pPr>
      <w:r>
        <w:rPr>
          <w:color w:val="1F4E79"/>
        </w:rPr>
        <w:t>4. Model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DEBF7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704"/>
            <w:vAlign w:val="center"/>
            <w:shd w:fill="DDEBF7"/>
          </w:tcPr>
          <w:p>
            <w:r>
              <w:rPr>
                <w:b/>
                <w:sz w:val="16"/>
              </w:rPr>
              <w:t>Checkpoint</w:t>
            </w:r>
          </w:p>
        </w:tc>
        <w:tc>
          <w:tcPr>
            <w:tcW w:type="dxa" w:w="1704"/>
            <w:vAlign w:val="center"/>
            <w:shd w:fill="DDEBF7"/>
          </w:tcPr>
          <w:p>
            <w:r>
              <w:rPr>
                <w:b/>
                <w:sz w:val="16"/>
              </w:rPr>
              <w:t>Origin</w:t>
            </w:r>
          </w:p>
        </w:tc>
        <w:tc>
          <w:tcPr>
            <w:tcW w:type="dxa" w:w="1704"/>
            <w:vAlign w:val="center"/>
            <w:shd w:fill="DDEBF7"/>
          </w:tcPr>
          <w:p>
            <w:r>
              <w:rPr>
                <w:b/>
                <w:sz w:val="16"/>
              </w:rPr>
              <w:t>Training data</w:t>
            </w:r>
          </w:p>
        </w:tc>
        <w:tc>
          <w:tcPr>
            <w:tcW w:type="dxa" w:w="1704"/>
            <w:vAlign w:val="center"/>
            <w:shd w:fill="DDEBF7"/>
          </w:tcPr>
          <w:p>
            <w:r>
              <w:rPr>
                <w:b/>
                <w:sz w:val="16"/>
              </w:rPr>
              <w:t>Why used</w:t>
            </w:r>
          </w:p>
        </w:tc>
        <w:tc>
          <w:tcPr>
            <w:tcW w:type="dxa" w:w="1704"/>
            <w:vAlign w:val="center"/>
            <w:shd w:fill="DDEBF7"/>
          </w:tcPr>
          <w:p>
            <w:r>
              <w:rPr>
                <w:b/>
                <w:sz w:val="16"/>
              </w:rPr>
              <w:t>Metric/note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SE(3) flow model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se3_flow/se3_best_checkpoint.pt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Project-trained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1,135 SE(3) molecular graphs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Auxiliary geometry foundation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Best val loss 9.0621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V5.3 anchor pretrain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v5_3_anchor_pretrain/anchor_site_model.pt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Project-trained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2,642,513 atom rows from 1,667 molecules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General anchor pattern learning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Test F1 0.1697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V5.3 anchor fine-tuned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v5_3_anchor/anchor_site_model.pt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Project fine-tuned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94,247 atom rows from 97 JAK2 molecules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JAK2 anchor adaptation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Test F1 0.2089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V5.3 linker-size pretrain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v5_3_linker_size_pretrain/linker_size_model.pt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Project-trained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52,266 broad fragment-linker examples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General linker length learning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Exact 19.57%, within-one 40.76%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V5.3 linker-size fine-tuned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v5_3_linker_size/linker_size_model.pt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Project fine-tuned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2,942 JAK2 fragment-linker examples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JAK2 linker length adaptation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Exact 34.41%, within-one 62.38%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V5.5 pocket anchor GNN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v5_5_pocket_anchor_gnn/pocket_anchor_gnn_best.pt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Project-trained on Kaggle CUDA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97 graphs/94,247 atom-label rows + pocket vector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Final V5.5 anchor selector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Test F1 0.4848, precision 0.3478, recall 0.8000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V5.5 pocket linker policy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v5_5_pocket_linker_policy/pocket_linker_policy_best.pt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Project-trained on Kaggle CUDA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55,208 combined fragment-linker samples + pocket vector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Final linker size + chemotype policy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Exact 59.28%, within-one 81.81%, chemotype 75.50%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V5.5 validity reward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v5_5_validity_reward/validity_reward_best.pt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Project-trained on Kaggle CUDA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2,845 logged attempt examples + pocket vector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Rejects weak proposals before construction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Test ROC-AUC 0.8605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V5.5 SE(3) continuation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v5_5_se3_continuation/se3_v5_5_best_checkpoint.pt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Project-continued from our SE(3) checkpoint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1,135 SE(3) graphs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Auxiliary geometry evidence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sz w:val="16"/>
              </w:rPr>
              <w:t>Val loss improved 9.0621 to 7.4328</w:t>
            </w:r>
          </w:p>
        </w:tc>
      </w:tr>
    </w:tbl>
    <w:p/>
    <w:p>
      <w:pPr>
        <w:pStyle w:val="Heading1"/>
      </w:pPr>
      <w:r>
        <w:rPr>
          <w:color w:val="1F4E79"/>
        </w:rPr>
        <w:t>5. Why V5.3 Is Used in V5.5</w:t>
      </w:r>
    </w:p>
    <w:p>
      <w:pPr>
        <w:jc w:val="both"/>
      </w:pPr>
      <w:r>
        <w:rPr>
          <w:sz w:val="21"/>
        </w:rPr>
        <w:t>V5.5 is the final upgraded pipeline version, not a rule that every file must be newly named V5.5. V5.3 produced internal project assets such as anchor rows, fragment-linker pairs, linker models, logged attempts, and pocket profile files. V5.5 reuses those assets for traceability and adds pocket-conditioned models and reward gating. Final V5.5 generation directly loads V5.5 pocket anchor GNN, V5.5 pocket linker policy, and V5.5 validity reward checkpoints.</w:t>
      </w:r>
    </w:p>
    <w:p>
      <w:pPr>
        <w:pStyle w:val="Heading1"/>
      </w:pPr>
      <w:r>
        <w:rPr>
          <w:color w:val="1F4E79"/>
        </w:rPr>
        <w:t>6. Simple Explanation for Sir</w:t>
      </w:r>
    </w:p>
    <w:p>
      <w:pPr>
        <w:jc w:val="both"/>
      </w:pPr>
      <w:r>
        <w:rPr>
          <w:sz w:val="21"/>
        </w:rPr>
        <w:t>We did not bring models from MED. MED is only a reference benchmark. Our models are trained by us on our project data. V5.3 means earlier internal project artifacts; V5.5 means the upgraded final pipeline that uses those artifacts plus new pocket/electronic-conditioned models. Pretraining was used to learn general macrocycle behavior from a broader macrocycle set, and fine-tuning was used to specialize to JAK2.</w:t>
      </w:r>
    </w:p>
    <w:p>
      <w:pPr>
        <w:pStyle w:val="Heading1"/>
      </w:pPr>
      <w:r>
        <w:rPr>
          <w:color w:val="1F4E79"/>
        </w:rPr>
        <w:t>7. Overfitting Clarification</w:t>
      </w:r>
    </w:p>
    <w:p>
      <w:pPr>
        <w:jc w:val="both"/>
      </w:pPr>
      <w:r>
        <w:rPr>
          <w:sz w:val="21"/>
        </w:rPr>
        <w:t>The reported 100% final metrics are not model accuracy. They are final accepted-output metrics after strict filtering: valid accepted molecules, uniqueness, macrocyclization, and linker novelty. Actual held-out model metrics are lower and realistic: pocket anchor GNN test F1 0.4848, linker exact accuracy 59.28%, linker within-one accuracy 81.81%, chemotype accuracy 75.50%, and reward model ROC-AUC 0.8605.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