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B63"/>
          <w:sz w:val="40"/>
        </w:rPr>
        <w:t>ElectroMacroDiff V5.5 Working Flow and Six Main Models</w:t>
      </w:r>
    </w:p>
    <w:p>
      <w:pPr>
        <w:jc w:val="center"/>
      </w:pPr>
      <w:r>
        <w:rPr>
          <w:color w:val="505A69"/>
          <w:sz w:val="20"/>
        </w:rPr>
        <w:t>Project 1169 | Senior explanation document | Generated from real project artifacts</w:t>
      </w:r>
    </w:p>
    <w:p>
      <w:pPr>
        <w:pStyle w:val="Heading1"/>
      </w:pPr>
      <w:r>
        <w:rPr>
          <w:rFonts w:ascii="Calibri" w:hAnsi="Calibri"/>
          <w:color w:val="2E74B5"/>
        </w:rPr>
        <w:t>1. Quick answer</w:t>
      </w:r>
    </w:p>
    <w:p>
      <w:r>
        <w:t>ElectroMacroDiff V5.5 is best explained as six main model blocks. The repository contains more checkpoint files because some model blocks have pretrain, fine-tuned, or continuation versions.</w:t>
      </w:r>
    </w:p>
    <w:p>
      <w:r>
        <w:t>The final molecule generation happens in:</w:t>
      </w:r>
    </w:p>
    <w:p>
      <w:r>
        <w:rPr>
          <w:rFonts w:ascii="Consolas" w:hAnsi="Consolas"/>
          <w:b/>
        </w:rPr>
        <w:t>scripts/29_generate_v5_5_pocket_guided.py</w:t>
      </w:r>
    </w:p>
    <w:p>
      <w:r>
        <w:t>Final generated molecules are written to:</w:t>
      </w:r>
    </w:p>
    <w:p>
      <w:r>
        <w:rPr>
          <w:rFonts w:ascii="Consolas" w:hAnsi="Consolas"/>
          <w:b/>
        </w:rPr>
        <w:t>05_generated_candidates/v5_5_pocket_guided/generated_v5_5_pocket_guided.csv</w:t>
      </w:r>
    </w:p>
    <w:p>
      <w:pPr>
        <w:pStyle w:val="Heading1"/>
      </w:pPr>
      <w:r>
        <w:rPr>
          <w:rFonts w:ascii="Calibri" w:hAnsi="Calibri"/>
          <w:color w:val="2E74B5"/>
        </w:rPr>
        <w:t>2. Six main model blocks</w:t>
      </w:r>
    </w:p>
    <w:p>
      <w:pPr>
        <w:jc w:val="center"/>
      </w:pPr>
      <w:r>
        <w:drawing>
          <wp:inline xmlns:a="http://schemas.openxmlformats.org/drawingml/2006/main" xmlns:pic="http://schemas.openxmlformats.org/drawingml/2006/picture">
            <wp:extent cx="6217920" cy="4076192"/>
            <wp:docPr id="1" name="Picture 1"/>
            <wp:cNvGraphicFramePr>
              <a:graphicFrameLocks noChangeAspect="1"/>
            </wp:cNvGraphicFramePr>
            <a:graphic>
              <a:graphicData uri="http://schemas.openxmlformats.org/drawingml/2006/picture">
                <pic:pic>
                  <pic:nvPicPr>
                    <pic:cNvPr id="0" name="v5_5_six_main_model_blocks.png"/>
                    <pic:cNvPicPr/>
                  </pic:nvPicPr>
                  <pic:blipFill>
                    <a:blip r:embed="rId9"/>
                    <a:stretch>
                      <a:fillRect/>
                    </a:stretch>
                  </pic:blipFill>
                  <pic:spPr>
                    <a:xfrm>
                      <a:off x="0" y="0"/>
                      <a:ext cx="6217920" cy="4076192"/>
                    </a:xfrm>
                    <a:prstGeom prst="rect"/>
                  </pic:spPr>
                </pic:pic>
              </a:graphicData>
            </a:graphic>
          </wp:inline>
        </w:drawing>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504"/>
            <w:vAlign w:val="center"/>
            <w:shd w:fill="E8EEF5"/>
          </w:tcPr>
          <w:p>
            <w:r/>
            <w:r>
              <w:rPr>
                <w:rFonts w:ascii="Calibri" w:hAnsi="Calibri"/>
                <w:b/>
                <w:sz w:val="18"/>
              </w:rPr>
              <w:t>#</w:t>
            </w:r>
          </w:p>
        </w:tc>
        <w:tc>
          <w:tcPr>
            <w:tcW w:type="dxa" w:w="2088"/>
            <w:vAlign w:val="center"/>
            <w:shd w:fill="E8EEF5"/>
          </w:tcPr>
          <w:p>
            <w:r/>
            <w:r>
              <w:rPr>
                <w:rFonts w:ascii="Calibri" w:hAnsi="Calibri"/>
                <w:b/>
                <w:sz w:val="18"/>
              </w:rPr>
              <w:t>Model block</w:t>
            </w:r>
          </w:p>
        </w:tc>
        <w:tc>
          <w:tcPr>
            <w:tcW w:type="dxa" w:w="2880"/>
            <w:vAlign w:val="center"/>
            <w:shd w:fill="E8EEF5"/>
          </w:tcPr>
          <w:p>
            <w:r/>
            <w:r>
              <w:rPr>
                <w:rFonts w:ascii="Calibri" w:hAnsi="Calibri"/>
                <w:b/>
                <w:sz w:val="18"/>
              </w:rPr>
              <w:t>Main role</w:t>
            </w:r>
          </w:p>
        </w:tc>
        <w:tc>
          <w:tcPr>
            <w:tcW w:type="dxa" w:w="3888"/>
            <w:vAlign w:val="center"/>
            <w:shd w:fill="E8EEF5"/>
          </w:tcPr>
          <w:p>
            <w:r/>
            <w:r>
              <w:rPr>
                <w:rFonts w:ascii="Calibri" w:hAnsi="Calibri"/>
                <w:b/>
                <w:sz w:val="18"/>
              </w:rPr>
              <w:t>Training/source</w:t>
            </w:r>
          </w:p>
        </w:tc>
      </w:tr>
      <w:tr>
        <w:tc>
          <w:tcPr>
            <w:tcW w:type="dxa" w:w="504"/>
            <w:vAlign w:val="center"/>
          </w:tcPr>
          <w:p>
            <w:r/>
            <w:r>
              <w:rPr>
                <w:rFonts w:ascii="Calibri" w:hAnsi="Calibri"/>
                <w:b w:val="0"/>
                <w:sz w:val="16"/>
              </w:rPr>
              <w:t>1</w:t>
            </w:r>
          </w:p>
        </w:tc>
        <w:tc>
          <w:tcPr>
            <w:tcW w:type="dxa" w:w="2088"/>
            <w:vAlign w:val="center"/>
          </w:tcPr>
          <w:p>
            <w:r/>
            <w:r>
              <w:rPr>
                <w:rFonts w:ascii="Calibri" w:hAnsi="Calibri"/>
                <w:b w:val="0"/>
                <w:sz w:val="16"/>
              </w:rPr>
              <w:t>SE(3) geometry</w:t>
            </w:r>
          </w:p>
        </w:tc>
        <w:tc>
          <w:tcPr>
            <w:tcW w:type="dxa" w:w="2880"/>
            <w:vAlign w:val="center"/>
          </w:tcPr>
          <w:p>
            <w:r/>
            <w:r>
              <w:rPr>
                <w:rFonts w:ascii="Calibri" w:hAnsi="Calibri"/>
                <w:b w:val="0"/>
                <w:sz w:val="16"/>
              </w:rPr>
              <w:t>3D geometry evidence</w:t>
            </w:r>
          </w:p>
        </w:tc>
        <w:tc>
          <w:tcPr>
            <w:tcW w:type="dxa" w:w="3888"/>
            <w:vAlign w:val="center"/>
          </w:tcPr>
          <w:p>
            <w:r/>
            <w:r>
              <w:rPr>
                <w:rFonts w:ascii="Calibri" w:hAnsi="Calibri"/>
                <w:b w:val="0"/>
                <w:sz w:val="16"/>
              </w:rPr>
              <w:t>1,135 JAK2 ligand graphs</w:t>
            </w:r>
          </w:p>
        </w:tc>
      </w:tr>
      <w:tr>
        <w:tc>
          <w:tcPr>
            <w:tcW w:type="dxa" w:w="504"/>
            <w:vAlign w:val="center"/>
          </w:tcPr>
          <w:p>
            <w:r/>
            <w:r>
              <w:rPr>
                <w:rFonts w:ascii="Calibri" w:hAnsi="Calibri"/>
                <w:b w:val="0"/>
                <w:sz w:val="16"/>
              </w:rPr>
              <w:t>2</w:t>
            </w:r>
          </w:p>
        </w:tc>
        <w:tc>
          <w:tcPr>
            <w:tcW w:type="dxa" w:w="2088"/>
            <w:vAlign w:val="center"/>
          </w:tcPr>
          <w:p>
            <w:r/>
            <w:r>
              <w:rPr>
                <w:rFonts w:ascii="Calibri" w:hAnsi="Calibri"/>
                <w:b w:val="0"/>
                <w:sz w:val="16"/>
              </w:rPr>
              <w:t>Anchor MLP foundation</w:t>
            </w:r>
          </w:p>
        </w:tc>
        <w:tc>
          <w:tcPr>
            <w:tcW w:type="dxa" w:w="2880"/>
            <w:vAlign w:val="center"/>
          </w:tcPr>
          <w:p>
            <w:r/>
            <w:r>
              <w:rPr>
                <w:rFonts w:ascii="Calibri" w:hAnsi="Calibri"/>
                <w:b w:val="0"/>
                <w:sz w:val="16"/>
              </w:rPr>
              <w:t>Baseline anchor prediction</w:t>
            </w:r>
          </w:p>
        </w:tc>
        <w:tc>
          <w:tcPr>
            <w:tcW w:type="dxa" w:w="3888"/>
            <w:vAlign w:val="center"/>
          </w:tcPr>
          <w:p>
            <w:r/>
            <w:r>
              <w:rPr>
                <w:rFonts w:ascii="Calibri" w:hAnsi="Calibri"/>
                <w:b w:val="0"/>
                <w:sz w:val="16"/>
              </w:rPr>
              <w:t>2,642,513 broad rows; 94,247 JAK2 rows</w:t>
            </w:r>
          </w:p>
        </w:tc>
      </w:tr>
      <w:tr>
        <w:tc>
          <w:tcPr>
            <w:tcW w:type="dxa" w:w="504"/>
            <w:vAlign w:val="center"/>
          </w:tcPr>
          <w:p>
            <w:r/>
            <w:r>
              <w:rPr>
                <w:rFonts w:ascii="Calibri" w:hAnsi="Calibri"/>
                <w:b w:val="0"/>
                <w:sz w:val="16"/>
              </w:rPr>
              <w:t>3</w:t>
            </w:r>
          </w:p>
        </w:tc>
        <w:tc>
          <w:tcPr>
            <w:tcW w:type="dxa" w:w="2088"/>
            <w:vAlign w:val="center"/>
          </w:tcPr>
          <w:p>
            <w:r/>
            <w:r>
              <w:rPr>
                <w:rFonts w:ascii="Calibri" w:hAnsi="Calibri"/>
                <w:b w:val="0"/>
                <w:sz w:val="16"/>
              </w:rPr>
              <w:t>Linker-size MLP foundation</w:t>
            </w:r>
          </w:p>
        </w:tc>
        <w:tc>
          <w:tcPr>
            <w:tcW w:type="dxa" w:w="2880"/>
            <w:vAlign w:val="center"/>
          </w:tcPr>
          <w:p>
            <w:r/>
            <w:r>
              <w:rPr>
                <w:rFonts w:ascii="Calibri" w:hAnsi="Calibri"/>
                <w:b w:val="0"/>
                <w:sz w:val="16"/>
              </w:rPr>
              <w:t>Baseline linker size</w:t>
            </w:r>
          </w:p>
        </w:tc>
        <w:tc>
          <w:tcPr>
            <w:tcW w:type="dxa" w:w="3888"/>
            <w:vAlign w:val="center"/>
          </w:tcPr>
          <w:p>
            <w:r/>
            <w:r>
              <w:rPr>
                <w:rFonts w:ascii="Calibri" w:hAnsi="Calibri"/>
                <w:b w:val="0"/>
                <w:sz w:val="16"/>
              </w:rPr>
              <w:t>52,266 broad rows; 2,942 JAK2 rows</w:t>
            </w:r>
          </w:p>
        </w:tc>
      </w:tr>
      <w:tr>
        <w:tc>
          <w:tcPr>
            <w:tcW w:type="dxa" w:w="504"/>
            <w:vAlign w:val="center"/>
          </w:tcPr>
          <w:p>
            <w:r/>
            <w:r>
              <w:rPr>
                <w:rFonts w:ascii="Calibri" w:hAnsi="Calibri"/>
                <w:b w:val="0"/>
                <w:sz w:val="16"/>
              </w:rPr>
              <w:t>4</w:t>
            </w:r>
          </w:p>
        </w:tc>
        <w:tc>
          <w:tcPr>
            <w:tcW w:type="dxa" w:w="2088"/>
            <w:vAlign w:val="center"/>
          </w:tcPr>
          <w:p>
            <w:r/>
            <w:r>
              <w:rPr>
                <w:rFonts w:ascii="Calibri" w:hAnsi="Calibri"/>
                <w:b w:val="0"/>
                <w:sz w:val="16"/>
              </w:rPr>
              <w:t>PocketAnchorGNN</w:t>
            </w:r>
          </w:p>
        </w:tc>
        <w:tc>
          <w:tcPr>
            <w:tcW w:type="dxa" w:w="2880"/>
            <w:vAlign w:val="center"/>
          </w:tcPr>
          <w:p>
            <w:r/>
            <w:r>
              <w:rPr>
                <w:rFonts w:ascii="Calibri" w:hAnsi="Calibri"/>
                <w:b w:val="0"/>
                <w:sz w:val="16"/>
              </w:rPr>
              <w:t>Final V5.5 anchor selection</w:t>
            </w:r>
          </w:p>
        </w:tc>
        <w:tc>
          <w:tcPr>
            <w:tcW w:type="dxa" w:w="3888"/>
            <w:vAlign w:val="center"/>
          </w:tcPr>
          <w:p>
            <w:r/>
            <w:r>
              <w:rPr>
                <w:rFonts w:ascii="Calibri" w:hAnsi="Calibri"/>
                <w:b w:val="0"/>
                <w:sz w:val="16"/>
              </w:rPr>
              <w:t>JAK2 graph labels plus 32-dim pocket vector</w:t>
            </w:r>
          </w:p>
        </w:tc>
      </w:tr>
      <w:tr>
        <w:tc>
          <w:tcPr>
            <w:tcW w:type="dxa" w:w="504"/>
            <w:vAlign w:val="center"/>
          </w:tcPr>
          <w:p>
            <w:r/>
            <w:r>
              <w:rPr>
                <w:rFonts w:ascii="Calibri" w:hAnsi="Calibri"/>
                <w:b w:val="0"/>
                <w:sz w:val="16"/>
              </w:rPr>
              <w:t>5</w:t>
            </w:r>
          </w:p>
        </w:tc>
        <w:tc>
          <w:tcPr>
            <w:tcW w:type="dxa" w:w="2088"/>
            <w:vAlign w:val="center"/>
          </w:tcPr>
          <w:p>
            <w:r/>
            <w:r>
              <w:rPr>
                <w:rFonts w:ascii="Calibri" w:hAnsi="Calibri"/>
                <w:b w:val="0"/>
                <w:sz w:val="16"/>
              </w:rPr>
              <w:t>PocketLinkerPolicy</w:t>
            </w:r>
          </w:p>
        </w:tc>
        <w:tc>
          <w:tcPr>
            <w:tcW w:type="dxa" w:w="2880"/>
            <w:vAlign w:val="center"/>
          </w:tcPr>
          <w:p>
            <w:r/>
            <w:r>
              <w:rPr>
                <w:rFonts w:ascii="Calibri" w:hAnsi="Calibri"/>
                <w:b w:val="0"/>
                <w:sz w:val="16"/>
              </w:rPr>
              <w:t>Final V5.5 linker size and chemotype</w:t>
            </w:r>
          </w:p>
        </w:tc>
        <w:tc>
          <w:tcPr>
            <w:tcW w:type="dxa" w:w="3888"/>
            <w:vAlign w:val="center"/>
          </w:tcPr>
          <w:p>
            <w:r/>
            <w:r>
              <w:rPr>
                <w:rFonts w:ascii="Calibri" w:hAnsi="Calibri"/>
                <w:b w:val="0"/>
                <w:sz w:val="16"/>
              </w:rPr>
              <w:t>55,208 training samples</w:t>
            </w:r>
          </w:p>
        </w:tc>
      </w:tr>
      <w:tr>
        <w:tc>
          <w:tcPr>
            <w:tcW w:type="dxa" w:w="504"/>
            <w:vAlign w:val="center"/>
          </w:tcPr>
          <w:p>
            <w:r/>
            <w:r>
              <w:rPr>
                <w:rFonts w:ascii="Calibri" w:hAnsi="Calibri"/>
                <w:b w:val="0"/>
                <w:sz w:val="16"/>
              </w:rPr>
              <w:t>6</w:t>
            </w:r>
          </w:p>
        </w:tc>
        <w:tc>
          <w:tcPr>
            <w:tcW w:type="dxa" w:w="2088"/>
            <w:vAlign w:val="center"/>
          </w:tcPr>
          <w:p>
            <w:r/>
            <w:r>
              <w:rPr>
                <w:rFonts w:ascii="Calibri" w:hAnsi="Calibri"/>
                <w:b w:val="0"/>
                <w:sz w:val="16"/>
              </w:rPr>
              <w:t>ValidityReward</w:t>
            </w:r>
          </w:p>
        </w:tc>
        <w:tc>
          <w:tcPr>
            <w:tcW w:type="dxa" w:w="2880"/>
            <w:vAlign w:val="center"/>
          </w:tcPr>
          <w:p>
            <w:r/>
            <w:r>
              <w:rPr>
                <w:rFonts w:ascii="Calibri" w:hAnsi="Calibri"/>
                <w:b w:val="0"/>
                <w:sz w:val="16"/>
              </w:rPr>
              <w:t>Final V5.5 attempt rejection gate</w:t>
            </w:r>
          </w:p>
        </w:tc>
        <w:tc>
          <w:tcPr>
            <w:tcW w:type="dxa" w:w="3888"/>
            <w:vAlign w:val="center"/>
          </w:tcPr>
          <w:p>
            <w:r/>
            <w:r>
              <w:rPr>
                <w:rFonts w:ascii="Calibri" w:hAnsi="Calibri"/>
                <w:b w:val="0"/>
                <w:sz w:val="16"/>
              </w:rPr>
              <w:t>2,845 attempt-log samples</w:t>
            </w:r>
          </w:p>
        </w:tc>
      </w:tr>
    </w:tbl>
    <w:p/>
    <w:p>
      <w:pPr>
        <w:pStyle w:val="Heading1"/>
      </w:pPr>
      <w:r>
        <w:rPr>
          <w:rFonts w:ascii="Calibri" w:hAnsi="Calibri"/>
          <w:color w:val="2E74B5"/>
        </w:rPr>
        <w:t>3. Full input-to-output working flow</w:t>
      </w:r>
    </w:p>
    <w:p>
      <w:pPr>
        <w:jc w:val="center"/>
      </w:pPr>
      <w:r>
        <w:drawing>
          <wp:inline xmlns:a="http://schemas.openxmlformats.org/drawingml/2006/main" xmlns:pic="http://schemas.openxmlformats.org/drawingml/2006/picture">
            <wp:extent cx="6217920" cy="4103827"/>
            <wp:docPr id="2" name="Picture 2"/>
            <wp:cNvGraphicFramePr>
              <a:graphicFrameLocks noChangeAspect="1"/>
            </wp:cNvGraphicFramePr>
            <a:graphic>
              <a:graphicData uri="http://schemas.openxmlformats.org/drawingml/2006/picture">
                <pic:pic>
                  <pic:nvPicPr>
                    <pic:cNvPr id="0" name="v5_5_input_to_output_working_flow.png"/>
                    <pic:cNvPicPr/>
                  </pic:nvPicPr>
                  <pic:blipFill>
                    <a:blip r:embed="rId10"/>
                    <a:stretch>
                      <a:fillRect/>
                    </a:stretch>
                  </pic:blipFill>
                  <pic:spPr>
                    <a:xfrm>
                      <a:off x="0" y="0"/>
                      <a:ext cx="6217920" cy="4103827"/>
                    </a:xfrm>
                    <a:prstGeom prst="rect"/>
                  </pic:spPr>
                </pic:pic>
              </a:graphicData>
            </a:graphic>
          </wp:inline>
        </w:drawing>
      </w:r>
    </w:p>
    <w:p>
      <w:pPr>
        <w:pStyle w:val="Heading1"/>
      </w:pPr>
      <w:r>
        <w:rPr>
          <w:rFonts w:ascii="Calibri" w:hAnsi="Calibri"/>
          <w:color w:val="2E74B5"/>
        </w:rPr>
        <w:t>4. Where the molecule is generated</w:t>
      </w:r>
    </w:p>
    <w:p>
      <w:r>
        <w:t>The molecule is generated before docking. Generation is handled by the V5.5 generator script and chemistry construction code. The final V5.5 models guide the decisions, but the script constructs and writes the final candidate SMILES.</w:t>
      </w:r>
    </w:p>
    <w:p>
      <w:pPr>
        <w:pStyle w:val="ListBullet"/>
      </w:pPr>
      <w:r>
        <w:t>PocketAnchorGNN chooses which atoms in the seed ligand are suitable anchor points.</w:t>
      </w:r>
    </w:p>
    <w:p>
      <w:pPr>
        <w:pStyle w:val="ListBullet"/>
      </w:pPr>
      <w:r>
        <w:t>PocketLinkerPolicy chooses the linker length and chemotype.</w:t>
      </w:r>
    </w:p>
    <w:p>
      <w:pPr>
        <w:pStyle w:val="ListBullet"/>
      </w:pPr>
      <w:r>
        <w:t>ValidityReward rejects proposals that are likely to fail before expensive construction/docking.</w:t>
      </w:r>
    </w:p>
    <w:p>
      <w:pPr>
        <w:pStyle w:val="ListBullet"/>
      </w:pPr>
      <w:r>
        <w:t>The chemistry builder constructs the macrocycle candidate and validates it with RDKit/basic filters.</w:t>
      </w:r>
    </w:p>
    <w:p>
      <w:pPr>
        <w:pStyle w:val="ListBullet"/>
      </w:pPr>
      <w:r>
        <w:t>Accepted molecules are written to generated_v5_5_pocket_guided.csv.</w:t>
      </w:r>
    </w:p>
    <w:p>
      <w:pPr>
        <w:pStyle w:val="ListBullet"/>
      </w:pPr>
      <w:r>
        <w:t>Docking starts only after generation; docking validates/ranks candidates but does not generate them.</w:t>
      </w:r>
    </w:p>
    <w:p>
      <w:pPr>
        <w:pStyle w:val="Heading1"/>
      </w:pPr>
      <w:r>
        <w:rPr>
          <w:rFonts w:ascii="Calibri" w:hAnsi="Calibri"/>
          <w:color w:val="2E74B5"/>
        </w:rPr>
        <w:t>5. Generation, filtering, docking, and ranking</w:t>
      </w:r>
    </w:p>
    <w:tbl>
      <w:tblPr>
        <w:tblStyle w:val="TableGrid"/>
        <w:tblW w:type="auto" w:w="0"/>
        <w:jc w:val="center"/>
        <w:tblLook w:firstColumn="1" w:firstRow="1" w:lastColumn="0" w:lastRow="0" w:noHBand="0" w:noVBand="1" w:val="04A0"/>
      </w:tblPr>
      <w:tblGrid>
        <w:gridCol w:w="3360"/>
        <w:gridCol w:w="3360"/>
        <w:gridCol w:w="3360"/>
      </w:tblGrid>
      <w:tr>
        <w:tc>
          <w:tcPr>
            <w:tcW w:type="dxa" w:w="1656"/>
            <w:vAlign w:val="center"/>
            <w:shd w:fill="E8EEF5"/>
          </w:tcPr>
          <w:p>
            <w:r/>
            <w:r>
              <w:rPr>
                <w:rFonts w:ascii="Calibri" w:hAnsi="Calibri"/>
                <w:b/>
                <w:sz w:val="18"/>
              </w:rPr>
              <w:t>Stage</w:t>
            </w:r>
          </w:p>
        </w:tc>
        <w:tc>
          <w:tcPr>
            <w:tcW w:type="dxa" w:w="4320"/>
            <w:vAlign w:val="center"/>
            <w:shd w:fill="E8EEF5"/>
          </w:tcPr>
          <w:p>
            <w:r/>
            <w:r>
              <w:rPr>
                <w:rFonts w:ascii="Calibri" w:hAnsi="Calibri"/>
                <w:b/>
                <w:sz w:val="18"/>
              </w:rPr>
              <w:t>What happens</w:t>
            </w:r>
          </w:p>
        </w:tc>
        <w:tc>
          <w:tcPr>
            <w:tcW w:type="dxa" w:w="3384"/>
            <w:vAlign w:val="center"/>
            <w:shd w:fill="E8EEF5"/>
          </w:tcPr>
          <w:p>
            <w:r/>
            <w:r>
              <w:rPr>
                <w:rFonts w:ascii="Calibri" w:hAnsi="Calibri"/>
                <w:b/>
                <w:sz w:val="18"/>
              </w:rPr>
              <w:t>Real artifact</w:t>
            </w:r>
          </w:p>
        </w:tc>
      </w:tr>
      <w:tr>
        <w:tc>
          <w:tcPr>
            <w:tcW w:type="dxa" w:w="1656"/>
            <w:vAlign w:val="center"/>
          </w:tcPr>
          <w:p>
            <w:r/>
            <w:r>
              <w:rPr>
                <w:rFonts w:ascii="Calibri" w:hAnsi="Calibri"/>
                <w:b w:val="0"/>
                <w:sz w:val="16"/>
              </w:rPr>
              <w:t>Data input</w:t>
            </w:r>
          </w:p>
        </w:tc>
        <w:tc>
          <w:tcPr>
            <w:tcW w:type="dxa" w:w="4320"/>
            <w:vAlign w:val="center"/>
          </w:tcPr>
          <w:p>
            <w:r/>
            <w:r>
              <w:rPr>
                <w:rFonts w:ascii="Calibri" w:hAnsi="Calibri"/>
                <w:b w:val="0"/>
                <w:sz w:val="16"/>
              </w:rPr>
              <w:t>ChEMBL JAK2 ligands, broad ChEMBL macrocycles, RCSB 5AEP protein</w:t>
            </w:r>
          </w:p>
        </w:tc>
        <w:tc>
          <w:tcPr>
            <w:tcW w:type="dxa" w:w="3384"/>
            <w:vAlign w:val="center"/>
          </w:tcPr>
          <w:p>
            <w:r/>
            <w:r>
              <w:rPr>
                <w:rFonts w:ascii="Calibri" w:hAnsi="Calibri"/>
                <w:b w:val="0"/>
                <w:sz w:val="16"/>
              </w:rPr>
              <w:t>01_raw_data and 02_curated_data</w:t>
            </w:r>
          </w:p>
        </w:tc>
      </w:tr>
      <w:tr>
        <w:tc>
          <w:tcPr>
            <w:tcW w:type="dxa" w:w="1656"/>
            <w:vAlign w:val="center"/>
          </w:tcPr>
          <w:p>
            <w:r/>
            <w:r>
              <w:rPr>
                <w:rFonts w:ascii="Calibri" w:hAnsi="Calibri"/>
                <w:b w:val="0"/>
                <w:sz w:val="16"/>
              </w:rPr>
              <w:t>Model guidance</w:t>
            </w:r>
          </w:p>
        </w:tc>
        <w:tc>
          <w:tcPr>
            <w:tcW w:type="dxa" w:w="4320"/>
            <w:vAlign w:val="center"/>
          </w:tcPr>
          <w:p>
            <w:r/>
            <w:r>
              <w:rPr>
                <w:rFonts w:ascii="Calibri" w:hAnsi="Calibri"/>
                <w:b w:val="0"/>
                <w:sz w:val="16"/>
              </w:rPr>
              <w:t>Anchor, linker, and reward models guide proposals</w:t>
            </w:r>
          </w:p>
        </w:tc>
        <w:tc>
          <w:tcPr>
            <w:tcW w:type="dxa" w:w="3384"/>
            <w:vAlign w:val="center"/>
          </w:tcPr>
          <w:p>
            <w:r/>
            <w:r>
              <w:rPr>
                <w:rFonts w:ascii="Calibri" w:hAnsi="Calibri"/>
                <w:b w:val="0"/>
                <w:sz w:val="16"/>
              </w:rPr>
              <w:t>04_models_checkpoints/v5_5_*</w:t>
            </w:r>
          </w:p>
        </w:tc>
      </w:tr>
      <w:tr>
        <w:tc>
          <w:tcPr>
            <w:tcW w:type="dxa" w:w="1656"/>
            <w:vAlign w:val="center"/>
          </w:tcPr>
          <w:p>
            <w:r/>
            <w:r>
              <w:rPr>
                <w:rFonts w:ascii="Calibri" w:hAnsi="Calibri"/>
                <w:b w:val="0"/>
                <w:sz w:val="16"/>
              </w:rPr>
              <w:t>Molecule generation</w:t>
            </w:r>
          </w:p>
        </w:tc>
        <w:tc>
          <w:tcPr>
            <w:tcW w:type="dxa" w:w="4320"/>
            <w:vAlign w:val="center"/>
          </w:tcPr>
          <w:p>
            <w:r/>
            <w:r>
              <w:rPr>
                <w:rFonts w:ascii="Calibri" w:hAnsi="Calibri"/>
                <w:b w:val="0"/>
                <w:sz w:val="16"/>
              </w:rPr>
              <w:t>New macrocycle SMILES are constructed from seed ligands</w:t>
            </w:r>
          </w:p>
        </w:tc>
        <w:tc>
          <w:tcPr>
            <w:tcW w:type="dxa" w:w="3384"/>
            <w:vAlign w:val="center"/>
          </w:tcPr>
          <w:p>
            <w:r/>
            <w:r>
              <w:rPr>
                <w:rFonts w:ascii="Calibri" w:hAnsi="Calibri"/>
                <w:b w:val="0"/>
                <w:sz w:val="16"/>
              </w:rPr>
              <w:t>05_generated_candidates/v5_5_pocket_guided/*.csv</w:t>
            </w:r>
          </w:p>
        </w:tc>
      </w:tr>
      <w:tr>
        <w:tc>
          <w:tcPr>
            <w:tcW w:type="dxa" w:w="1656"/>
            <w:vAlign w:val="center"/>
          </w:tcPr>
          <w:p>
            <w:r/>
            <w:r>
              <w:rPr>
                <w:rFonts w:ascii="Calibri" w:hAnsi="Calibri"/>
                <w:b w:val="0"/>
                <w:sz w:val="16"/>
              </w:rPr>
              <w:t>Attempt logging</w:t>
            </w:r>
          </w:p>
        </w:tc>
        <w:tc>
          <w:tcPr>
            <w:tcW w:type="dxa" w:w="4320"/>
            <w:vAlign w:val="center"/>
          </w:tcPr>
          <w:p>
            <w:r/>
            <w:r>
              <w:rPr>
                <w:rFonts w:ascii="Calibri" w:hAnsi="Calibri"/>
                <w:b w:val="0"/>
                <w:sz w:val="16"/>
              </w:rPr>
              <w:t>Every proposal is logged with status</w:t>
            </w:r>
          </w:p>
        </w:tc>
        <w:tc>
          <w:tcPr>
            <w:tcW w:type="dxa" w:w="3384"/>
            <w:vAlign w:val="center"/>
          </w:tcPr>
          <w:p>
            <w:r/>
            <w:r>
              <w:rPr>
                <w:rFonts w:ascii="Calibri" w:hAnsi="Calibri"/>
                <w:b w:val="0"/>
                <w:sz w:val="16"/>
              </w:rPr>
              <w:t>v5_5_pocket_guided_attempt_log.csv</w:t>
            </w:r>
          </w:p>
        </w:tc>
      </w:tr>
      <w:tr>
        <w:tc>
          <w:tcPr>
            <w:tcW w:type="dxa" w:w="1656"/>
            <w:vAlign w:val="center"/>
          </w:tcPr>
          <w:p>
            <w:r/>
            <w:r>
              <w:rPr>
                <w:rFonts w:ascii="Calibri" w:hAnsi="Calibri"/>
                <w:b w:val="0"/>
                <w:sz w:val="16"/>
              </w:rPr>
              <w:t>Docking</w:t>
            </w:r>
          </w:p>
        </w:tc>
        <w:tc>
          <w:tcPr>
            <w:tcW w:type="dxa" w:w="4320"/>
            <w:vAlign w:val="center"/>
          </w:tcPr>
          <w:p>
            <w:r/>
            <w:r>
              <w:rPr>
                <w:rFonts w:ascii="Calibri" w:hAnsi="Calibri"/>
                <w:b w:val="0"/>
                <w:sz w:val="16"/>
              </w:rPr>
              <w:t>Prepared candidates are docked into JAK2 5AEP using Vina-GPU 2.1</w:t>
            </w:r>
          </w:p>
        </w:tc>
        <w:tc>
          <w:tcPr>
            <w:tcW w:type="dxa" w:w="3384"/>
            <w:vAlign w:val="center"/>
          </w:tcPr>
          <w:p>
            <w:r/>
            <w:r>
              <w:rPr>
                <w:rFonts w:ascii="Calibri" w:hAnsi="Calibri"/>
                <w:b w:val="0"/>
                <w:sz w:val="16"/>
              </w:rPr>
              <w:t>docking_scores_full_vina_gpu_2_1.csv</w:t>
            </w:r>
          </w:p>
        </w:tc>
      </w:tr>
      <w:tr>
        <w:tc>
          <w:tcPr>
            <w:tcW w:type="dxa" w:w="1656"/>
            <w:vAlign w:val="center"/>
          </w:tcPr>
          <w:p>
            <w:r/>
            <w:r>
              <w:rPr>
                <w:rFonts w:ascii="Calibri" w:hAnsi="Calibri"/>
                <w:b w:val="0"/>
                <w:sz w:val="16"/>
              </w:rPr>
              <w:t>Final ranking</w:t>
            </w:r>
          </w:p>
        </w:tc>
        <w:tc>
          <w:tcPr>
            <w:tcW w:type="dxa" w:w="4320"/>
            <w:vAlign w:val="center"/>
          </w:tcPr>
          <w:p>
            <w:r/>
            <w:r>
              <w:rPr>
                <w:rFonts w:ascii="Calibri" w:hAnsi="Calibri"/>
                <w:b w:val="0"/>
                <w:sz w:val="16"/>
              </w:rPr>
              <w:t>Docking, ADMET, pose sanity, novelty, and pocket-electronic fit are combined</w:t>
            </w:r>
          </w:p>
        </w:tc>
        <w:tc>
          <w:tcPr>
            <w:tcW w:type="dxa" w:w="3384"/>
            <w:vAlign w:val="center"/>
          </w:tcPr>
          <w:p>
            <w:r/>
            <w:r>
              <w:rPr>
                <w:rFonts w:ascii="Calibri" w:hAnsi="Calibri"/>
                <w:b w:val="0"/>
                <w:sz w:val="16"/>
              </w:rPr>
              <w:t>08_final_ranking/*.csv</w:t>
            </w:r>
          </w:p>
        </w:tc>
      </w:tr>
    </w:tbl>
    <w:p/>
    <w:p>
      <w:pPr>
        <w:pStyle w:val="Heading1"/>
      </w:pPr>
      <w:r>
        <w:rPr>
          <w:rFonts w:ascii="Calibri" w:hAnsi="Calibri"/>
          <w:color w:val="2E74B5"/>
        </w:rPr>
        <w:t>6. Real final output numbers</w:t>
      </w:r>
    </w:p>
    <w:tbl>
      <w:tblPr>
        <w:tblStyle w:val="TableGrid"/>
        <w:tblW w:type="auto" w:w="0"/>
        <w:jc w:val="center"/>
        <w:tblLook w:firstColumn="1" w:firstRow="1" w:lastColumn="0" w:lastRow="0" w:noHBand="0" w:noVBand="1" w:val="04A0"/>
      </w:tblPr>
      <w:tblGrid>
        <w:gridCol w:w="5040"/>
        <w:gridCol w:w="5040"/>
      </w:tblGrid>
      <w:tr>
        <w:tc>
          <w:tcPr>
            <w:tcW w:type="dxa" w:w="5184"/>
            <w:vAlign w:val="center"/>
            <w:shd w:fill="E8EEF5"/>
          </w:tcPr>
          <w:p>
            <w:r/>
            <w:r>
              <w:rPr>
                <w:rFonts w:ascii="Calibri" w:hAnsi="Calibri"/>
                <w:b/>
                <w:sz w:val="18"/>
              </w:rPr>
              <w:t>Metric</w:t>
            </w:r>
          </w:p>
        </w:tc>
        <w:tc>
          <w:tcPr>
            <w:tcW w:type="dxa" w:w="3456"/>
            <w:vAlign w:val="center"/>
            <w:shd w:fill="E8EEF5"/>
          </w:tcPr>
          <w:p>
            <w:r/>
            <w:r>
              <w:rPr>
                <w:rFonts w:ascii="Calibri" w:hAnsi="Calibri"/>
                <w:b/>
                <w:sz w:val="18"/>
              </w:rPr>
              <w:t>Value</w:t>
            </w:r>
          </w:p>
        </w:tc>
      </w:tr>
      <w:tr>
        <w:tc>
          <w:tcPr>
            <w:tcW w:type="dxa" w:w="5184"/>
            <w:vAlign w:val="center"/>
          </w:tcPr>
          <w:p>
            <w:r/>
            <w:r>
              <w:rPr>
                <w:rFonts w:ascii="Calibri" w:hAnsi="Calibri"/>
                <w:b w:val="0"/>
                <w:sz w:val="16"/>
              </w:rPr>
              <w:t>Final accepted V5.5 candidates</w:t>
            </w:r>
          </w:p>
        </w:tc>
        <w:tc>
          <w:tcPr>
            <w:tcW w:type="dxa" w:w="3456"/>
            <w:vAlign w:val="center"/>
          </w:tcPr>
          <w:p>
            <w:r/>
            <w:r>
              <w:rPr>
                <w:rFonts w:ascii="Calibri" w:hAnsi="Calibri"/>
                <w:b w:val="0"/>
                <w:sz w:val="16"/>
              </w:rPr>
              <w:t>1,113</w:t>
            </w:r>
          </w:p>
        </w:tc>
      </w:tr>
      <w:tr>
        <w:tc>
          <w:tcPr>
            <w:tcW w:type="dxa" w:w="5184"/>
            <w:vAlign w:val="center"/>
          </w:tcPr>
          <w:p>
            <w:r/>
            <w:r>
              <w:rPr>
                <w:rFonts w:ascii="Calibri" w:hAnsi="Calibri"/>
                <w:b w:val="0"/>
                <w:sz w:val="16"/>
              </w:rPr>
              <w:t>Unique final candidates</w:t>
            </w:r>
          </w:p>
        </w:tc>
        <w:tc>
          <w:tcPr>
            <w:tcW w:type="dxa" w:w="3456"/>
            <w:vAlign w:val="center"/>
          </w:tcPr>
          <w:p>
            <w:r/>
            <w:r>
              <w:rPr>
                <w:rFonts w:ascii="Calibri" w:hAnsi="Calibri"/>
                <w:b w:val="0"/>
                <w:sz w:val="16"/>
              </w:rPr>
              <w:t>1,113</w:t>
            </w:r>
          </w:p>
        </w:tc>
      </w:tr>
      <w:tr>
        <w:tc>
          <w:tcPr>
            <w:tcW w:type="dxa" w:w="5184"/>
            <w:vAlign w:val="center"/>
          </w:tcPr>
          <w:p>
            <w:r/>
            <w:r>
              <w:rPr>
                <w:rFonts w:ascii="Calibri" w:hAnsi="Calibri"/>
                <w:b w:val="0"/>
                <w:sz w:val="16"/>
              </w:rPr>
              <w:t>Final logged attempts</w:t>
            </w:r>
          </w:p>
        </w:tc>
        <w:tc>
          <w:tcPr>
            <w:tcW w:type="dxa" w:w="3456"/>
            <w:vAlign w:val="center"/>
          </w:tcPr>
          <w:p>
            <w:r/>
            <w:r>
              <w:rPr>
                <w:rFonts w:ascii="Calibri" w:hAnsi="Calibri"/>
                <w:b w:val="0"/>
                <w:sz w:val="16"/>
              </w:rPr>
              <w:t>87,287</w:t>
            </w:r>
          </w:p>
        </w:tc>
      </w:tr>
      <w:tr>
        <w:tc>
          <w:tcPr>
            <w:tcW w:type="dxa" w:w="5184"/>
            <w:vAlign w:val="center"/>
          </w:tcPr>
          <w:p>
            <w:r/>
            <w:r>
              <w:rPr>
                <w:rFonts w:ascii="Calibri" w:hAnsi="Calibri"/>
                <w:b w:val="0"/>
                <w:sz w:val="16"/>
              </w:rPr>
              <w:t>Reward-model rejections</w:t>
            </w:r>
          </w:p>
        </w:tc>
        <w:tc>
          <w:tcPr>
            <w:tcW w:type="dxa" w:w="3456"/>
            <w:vAlign w:val="center"/>
          </w:tcPr>
          <w:p>
            <w:r/>
            <w:r>
              <w:rPr>
                <w:rFonts w:ascii="Calibri" w:hAnsi="Calibri"/>
                <w:b w:val="0"/>
                <w:sz w:val="16"/>
              </w:rPr>
              <w:t>78,257</w:t>
            </w:r>
          </w:p>
        </w:tc>
      </w:tr>
      <w:tr>
        <w:tc>
          <w:tcPr>
            <w:tcW w:type="dxa" w:w="5184"/>
            <w:vAlign w:val="center"/>
          </w:tcPr>
          <w:p>
            <w:r/>
            <w:r>
              <w:rPr>
                <w:rFonts w:ascii="Calibri" w:hAnsi="Calibri"/>
                <w:b w:val="0"/>
                <w:sz w:val="16"/>
              </w:rPr>
              <w:t>Valid output rows</w:t>
            </w:r>
          </w:p>
        </w:tc>
        <w:tc>
          <w:tcPr>
            <w:tcW w:type="dxa" w:w="3456"/>
            <w:vAlign w:val="center"/>
          </w:tcPr>
          <w:p>
            <w:r/>
            <w:r>
              <w:rPr>
                <w:rFonts w:ascii="Calibri" w:hAnsi="Calibri"/>
                <w:b w:val="0"/>
                <w:sz w:val="16"/>
              </w:rPr>
              <w:t>1,113</w:t>
            </w:r>
          </w:p>
        </w:tc>
      </w:tr>
      <w:tr>
        <w:tc>
          <w:tcPr>
            <w:tcW w:type="dxa" w:w="5184"/>
            <w:vAlign w:val="center"/>
          </w:tcPr>
          <w:p>
            <w:r/>
            <w:r>
              <w:rPr>
                <w:rFonts w:ascii="Calibri" w:hAnsi="Calibri"/>
                <w:b w:val="0"/>
                <w:sz w:val="16"/>
              </w:rPr>
              <w:t>Vina-GPU parsed docking scores</w:t>
            </w:r>
          </w:p>
        </w:tc>
        <w:tc>
          <w:tcPr>
            <w:tcW w:type="dxa" w:w="3456"/>
            <w:vAlign w:val="center"/>
          </w:tcPr>
          <w:p>
            <w:r/>
            <w:r>
              <w:rPr>
                <w:rFonts w:ascii="Calibri" w:hAnsi="Calibri"/>
                <w:b w:val="0"/>
                <w:sz w:val="16"/>
              </w:rPr>
              <w:t>1,036</w:t>
            </w:r>
          </w:p>
        </w:tc>
      </w:tr>
      <w:tr>
        <w:tc>
          <w:tcPr>
            <w:tcW w:type="dxa" w:w="5184"/>
            <w:vAlign w:val="center"/>
          </w:tcPr>
          <w:p>
            <w:r/>
            <w:r>
              <w:rPr>
                <w:rFonts w:ascii="Calibri" w:hAnsi="Calibri"/>
                <w:b w:val="0"/>
                <w:sz w:val="16"/>
              </w:rPr>
              <w:t>Best Vina-GPU score</w:t>
            </w:r>
          </w:p>
        </w:tc>
        <w:tc>
          <w:tcPr>
            <w:tcW w:type="dxa" w:w="3456"/>
            <w:vAlign w:val="center"/>
          </w:tcPr>
          <w:p>
            <w:r/>
            <w:r>
              <w:rPr>
                <w:rFonts w:ascii="Calibri" w:hAnsi="Calibri"/>
                <w:b w:val="0"/>
                <w:sz w:val="16"/>
              </w:rPr>
              <w:t>-12.7 kcal/mol</w:t>
            </w:r>
          </w:p>
        </w:tc>
      </w:tr>
      <w:tr>
        <w:tc>
          <w:tcPr>
            <w:tcW w:type="dxa" w:w="5184"/>
            <w:vAlign w:val="center"/>
          </w:tcPr>
          <w:p>
            <w:r/>
            <w:r>
              <w:rPr>
                <w:rFonts w:ascii="Calibri" w:hAnsi="Calibri"/>
                <w:b w:val="0"/>
                <w:sz w:val="16"/>
              </w:rPr>
              <w:t>Median Vina-GPU score</w:t>
            </w:r>
          </w:p>
        </w:tc>
        <w:tc>
          <w:tcPr>
            <w:tcW w:type="dxa" w:w="3456"/>
            <w:vAlign w:val="center"/>
          </w:tcPr>
          <w:p>
            <w:r/>
            <w:r>
              <w:rPr>
                <w:rFonts w:ascii="Calibri" w:hAnsi="Calibri"/>
                <w:b w:val="0"/>
                <w:sz w:val="16"/>
              </w:rPr>
              <w:t>-8.4 kcal/mol</w:t>
            </w:r>
          </w:p>
        </w:tc>
      </w:tr>
      <w:tr>
        <w:tc>
          <w:tcPr>
            <w:tcW w:type="dxa" w:w="5184"/>
            <w:vAlign w:val="center"/>
          </w:tcPr>
          <w:p>
            <w:r/>
            <w:r>
              <w:rPr>
                <w:rFonts w:ascii="Calibri" w:hAnsi="Calibri"/>
                <w:b w:val="0"/>
                <w:sz w:val="16"/>
              </w:rPr>
              <w:t>Top ranked candidate</w:t>
            </w:r>
          </w:p>
        </w:tc>
        <w:tc>
          <w:tcPr>
            <w:tcW w:type="dxa" w:w="3456"/>
            <w:vAlign w:val="center"/>
          </w:tcPr>
          <w:p>
            <w:r/>
            <w:r>
              <w:rPr>
                <w:rFonts w:ascii="Calibri" w:hAnsi="Calibri"/>
                <w:b w:val="0"/>
                <w:sz w:val="16"/>
              </w:rPr>
              <w:t>CAND_3688f8acdc</w:t>
            </w:r>
          </w:p>
        </w:tc>
      </w:tr>
    </w:tbl>
    <w:p/>
    <w:p>
      <w:pPr>
        <w:pStyle w:val="Heading1"/>
      </w:pPr>
      <w:r>
        <w:rPr>
          <w:rFonts w:ascii="Calibri" w:hAnsi="Calibri"/>
          <w:color w:val="2E74B5"/>
        </w:rPr>
        <w:t>7. Copy-paste explanation</w:t>
      </w:r>
    </w:p>
    <w:p>
      <w:r>
        <w:t>Sir, the latest version is V5.5. We can explain it as six model blocks. The older V5.3 names appear because those were our internal foundation/pretraining datasets and checkpoints. The final V5.5 molecules are generated by scripts/29_generate_v5_5_pocket_guided.py, using V5.5 PocketAnchorGNN, PocketLinkerPolicy, and ValidityReward checkpoints. Molecules are first generated as macrocycle candidates, then Vina-GPU docking and pocket-electronic scoring are used only for validation and ranking.</w:t>
      </w:r>
    </w:p>
    <w:p>
      <w:r>
        <w:br w:type="page"/>
      </w:r>
    </w:p>
    <w:p>
      <w:pPr>
        <w:pStyle w:val="Heading1"/>
      </w:pPr>
      <w:r>
        <w:rPr>
          <w:rFonts w:ascii="Calibri" w:hAnsi="Calibri"/>
          <w:color w:val="2E74B5"/>
        </w:rPr>
        <w:t>Appendix: Markdown source</w:t>
      </w:r>
    </w:p>
    <w:p>
      <w:r>
        <w:rPr>
          <w:rFonts w:ascii="Consolas" w:hAnsi="Consolas"/>
          <w:sz w:val="16"/>
        </w:rPr>
        <w:t># ElectroMacroDiff V5.5 Working Flow and Six Main Models</w:t>
      </w:r>
    </w:p>
    <w:p>
      <w:r>
        <w:rPr>
          <w:rFonts w:ascii="Consolas" w:hAnsi="Consolas"/>
          <w:sz w:val="16"/>
        </w:rPr>
      </w:r>
    </w:p>
    <w:p>
      <w:r>
        <w:rPr>
          <w:rFonts w:ascii="Consolas" w:hAnsi="Consolas"/>
          <w:sz w:val="16"/>
        </w:rPr>
        <w:t>Project number: 1169</w:t>
      </w:r>
    </w:p>
    <w:p>
      <w:r>
        <w:rPr>
          <w:rFonts w:ascii="Consolas" w:hAnsi="Consolas"/>
          <w:sz w:val="16"/>
        </w:rPr>
      </w:r>
    </w:p>
    <w:p>
      <w:r>
        <w:rPr>
          <w:rFonts w:ascii="Consolas" w:hAnsi="Consolas"/>
          <w:sz w:val="16"/>
        </w:rPr>
        <w:t>Prepared from real project files in `C:\Users\srira\Desktop\new_plan\EMD_V5_2_Hybrid`.</w:t>
      </w:r>
    </w:p>
    <w:p>
      <w:r>
        <w:rPr>
          <w:rFonts w:ascii="Consolas" w:hAnsi="Consolas"/>
          <w:sz w:val="16"/>
        </w:rPr>
      </w:r>
    </w:p>
    <w:p>
      <w:r>
        <w:rPr>
          <w:rFonts w:ascii="Consolas" w:hAnsi="Consolas"/>
          <w:sz w:val="16"/>
        </w:rPr>
        <w:t>## Quick answer</w:t>
      </w:r>
    </w:p>
    <w:p>
      <w:r>
        <w:rPr>
          <w:rFonts w:ascii="Consolas" w:hAnsi="Consolas"/>
          <w:sz w:val="16"/>
        </w:rPr>
      </w:r>
    </w:p>
    <w:p>
      <w:r>
        <w:rPr>
          <w:rFonts w:ascii="Consolas" w:hAnsi="Consolas"/>
          <w:sz w:val="16"/>
        </w:rPr>
        <w:t>ElectroMacroDiff V5.5 is best explained as **six main model blocks**. The repository has more checkpoint files because some model blocks have pretrain, fine-tuned, or continuation versions.</w:t>
      </w:r>
    </w:p>
    <w:p>
      <w:r>
        <w:rPr>
          <w:rFonts w:ascii="Consolas" w:hAnsi="Consolas"/>
          <w:sz w:val="16"/>
        </w:rPr>
      </w:r>
    </w:p>
    <w:p>
      <w:r>
        <w:rPr>
          <w:rFonts w:ascii="Consolas" w:hAnsi="Consolas"/>
          <w:sz w:val="16"/>
        </w:rPr>
        <w:t>The final V5.5 molecule generation happens in:</w:t>
      </w:r>
    </w:p>
    <w:p>
      <w:r>
        <w:rPr>
          <w:rFonts w:ascii="Consolas" w:hAnsi="Consolas"/>
          <w:sz w:val="16"/>
        </w:rPr>
      </w:r>
    </w:p>
    <w:p>
      <w:r>
        <w:rPr>
          <w:rFonts w:ascii="Consolas" w:hAnsi="Consolas"/>
          <w:sz w:val="16"/>
        </w:rPr>
        <w:t>`scripts/29_generate_v5_5_pocket_guided.py`</w:t>
      </w:r>
    </w:p>
    <w:p>
      <w:r>
        <w:rPr>
          <w:rFonts w:ascii="Consolas" w:hAnsi="Consolas"/>
          <w:sz w:val="16"/>
        </w:rPr>
      </w:r>
    </w:p>
    <w:p>
      <w:r>
        <w:rPr>
          <w:rFonts w:ascii="Consolas" w:hAnsi="Consolas"/>
          <w:sz w:val="16"/>
        </w:rPr>
        <w:t>The final generated molecules are written to:</w:t>
      </w:r>
    </w:p>
    <w:p>
      <w:r>
        <w:rPr>
          <w:rFonts w:ascii="Consolas" w:hAnsi="Consolas"/>
          <w:sz w:val="16"/>
        </w:rPr>
      </w:r>
    </w:p>
    <w:p>
      <w:r>
        <w:rPr>
          <w:rFonts w:ascii="Consolas" w:hAnsi="Consolas"/>
          <w:sz w:val="16"/>
        </w:rPr>
        <w:t>`05_generated_candidates/v5_5_pocket_guided/generated_v5_5_pocket_guided.csv`</w:t>
      </w:r>
    </w:p>
    <w:p>
      <w:r>
        <w:rPr>
          <w:rFonts w:ascii="Consolas" w:hAnsi="Consolas"/>
          <w:sz w:val="16"/>
        </w:rPr>
      </w:r>
    </w:p>
    <w:p>
      <w:r>
        <w:rPr>
          <w:rFonts w:ascii="Consolas" w:hAnsi="Consolas"/>
          <w:sz w:val="16"/>
        </w:rPr>
        <w:t>The models do not directly output a finished drug molecule in one single step. Instead, they guide a chemistry construction process:</w:t>
      </w:r>
    </w:p>
    <w:p>
      <w:r>
        <w:rPr>
          <w:rFonts w:ascii="Consolas" w:hAnsi="Consolas"/>
          <w:sz w:val="16"/>
        </w:rPr>
      </w:r>
    </w:p>
    <w:p>
      <w:r>
        <w:rPr>
          <w:rFonts w:ascii="Consolas" w:hAnsi="Consolas"/>
          <w:sz w:val="16"/>
        </w:rPr>
        <w:t>1. choose seed ligand,</w:t>
      </w:r>
    </w:p>
    <w:p>
      <w:r>
        <w:rPr>
          <w:rFonts w:ascii="Consolas" w:hAnsi="Consolas"/>
          <w:sz w:val="16"/>
        </w:rPr>
        <w:t>2. score/select anchor atoms,</w:t>
      </w:r>
    </w:p>
    <w:p>
      <w:r>
        <w:rPr>
          <w:rFonts w:ascii="Consolas" w:hAnsi="Consolas"/>
          <w:sz w:val="16"/>
        </w:rPr>
        <w:t>3. choose linker length and chemotype,</w:t>
      </w:r>
    </w:p>
    <w:p>
      <w:r>
        <w:rPr>
          <w:rFonts w:ascii="Consolas" w:hAnsi="Consolas"/>
          <w:sz w:val="16"/>
        </w:rPr>
        <w:t>4. build the macrocycle using the project chemistry builder,</w:t>
      </w:r>
    </w:p>
    <w:p>
      <w:r>
        <w:rPr>
          <w:rFonts w:ascii="Consolas" w:hAnsi="Consolas"/>
          <w:sz w:val="16"/>
        </w:rPr>
        <w:t>5. reject weak/duplicate/non-novel/non-macrocycle attempts,</w:t>
      </w:r>
    </w:p>
    <w:p>
      <w:r>
        <w:rPr>
          <w:rFonts w:ascii="Consolas" w:hAnsi="Consolas"/>
          <w:sz w:val="16"/>
        </w:rPr>
        <w:t>6. keep valid generated molecules,</w:t>
      </w:r>
    </w:p>
    <w:p>
      <w:r>
        <w:rPr>
          <w:rFonts w:ascii="Consolas" w:hAnsi="Consolas"/>
          <w:sz w:val="16"/>
        </w:rPr>
        <w:t>7. dock and rank them.</w:t>
      </w:r>
    </w:p>
    <w:p>
      <w:r>
        <w:rPr>
          <w:rFonts w:ascii="Consolas" w:hAnsi="Consolas"/>
          <w:sz w:val="16"/>
        </w:rPr>
      </w:r>
    </w:p>
    <w:p>
      <w:r>
        <w:rPr>
          <w:rFonts w:ascii="Consolas" w:hAnsi="Consolas"/>
          <w:sz w:val="16"/>
        </w:rPr>
        <w:t>## Six main model blocks</w:t>
      </w:r>
    </w:p>
    <w:p>
      <w:r>
        <w:rPr>
          <w:rFonts w:ascii="Consolas" w:hAnsi="Consolas"/>
          <w:sz w:val="16"/>
        </w:rPr>
      </w:r>
    </w:p>
    <w:p>
      <w:r>
        <w:rPr>
          <w:rFonts w:ascii="Consolas" w:hAnsi="Consolas"/>
          <w:sz w:val="16"/>
        </w:rPr>
        <w:t>![Six model blocks](assets/v5_5_six_main_model_blocks.png)</w:t>
      </w:r>
    </w:p>
    <w:p>
      <w:r>
        <w:rPr>
          <w:rFonts w:ascii="Consolas" w:hAnsi="Consolas"/>
          <w:sz w:val="16"/>
        </w:rPr>
      </w:r>
    </w:p>
    <w:p>
      <w:r>
        <w:rPr>
          <w:rFonts w:ascii="Consolas" w:hAnsi="Consolas"/>
          <w:sz w:val="16"/>
        </w:rPr>
        <w:t>| # | Model block | Why it exists | Trained on | Used where |</w:t>
      </w:r>
    </w:p>
    <w:p>
      <w:r>
        <w:rPr>
          <w:rFonts w:ascii="Consolas" w:hAnsi="Consolas"/>
          <w:sz w:val="16"/>
        </w:rPr>
        <w:t>|---:|---|---|---|---|</w:t>
      </w:r>
    </w:p>
    <w:p>
      <w:r>
        <w:rPr>
          <w:rFonts w:ascii="Consolas" w:hAnsi="Consolas"/>
          <w:sz w:val="16"/>
        </w:rPr>
        <w:t>| 1 | SE(3) geometry model | Learns 3D geometry behavior and provides auxiliary geometry evidence | 1,135 JAK2 ligand graphs | SE(3) training/continuation and auxiliary geometry scoring |</w:t>
      </w:r>
    </w:p>
    <w:p>
      <w:r>
        <w:rPr>
          <w:rFonts w:ascii="Consolas" w:hAnsi="Consolas"/>
          <w:sz w:val="16"/>
        </w:rPr>
        <w:t>| 2 | Anchor MLP foundation | Earlier foundation model for atom-level anchor prediction | 2,642,513 broad atom rows, then 94,247 JAK2 atom rows | V5.3 baseline/provenance, foundation for comparison |</w:t>
      </w:r>
    </w:p>
    <w:p>
      <w:r>
        <w:rPr>
          <w:rFonts w:ascii="Consolas" w:hAnsi="Consolas"/>
          <w:sz w:val="16"/>
        </w:rPr>
        <w:t>| 3 | Linker-size MLP foundation | Earlier foundation model for linker-size prediction | 52,266 broad linker rows, then 2,942 JAK2 linker rows | V5.3 baseline/provenance, foundation for comparison |</w:t>
      </w:r>
    </w:p>
    <w:p>
      <w:r>
        <w:rPr>
          <w:rFonts w:ascii="Consolas" w:hAnsi="Consolas"/>
          <w:sz w:val="16"/>
        </w:rPr>
        <w:t>| 4 | V5.5 PocketAnchorGNN | Selects anchor atoms using graph structure plus JAK2 pocket vector | JAK2 anchor graph labels plus 32-dim pocket vector | Final V5.5 generation |</w:t>
      </w:r>
    </w:p>
    <w:p>
      <w:r>
        <w:rPr>
          <w:rFonts w:ascii="Consolas" w:hAnsi="Consolas"/>
          <w:sz w:val="16"/>
        </w:rPr>
        <w:t>| 5 | V5.5 PocketLinkerPolicy | Chooses linker size and chemotype using pocket-electronic context | 55,208 linker-policy samples | Final V5.5 generation |</w:t>
      </w:r>
    </w:p>
    <w:p>
      <w:r>
        <w:rPr>
          <w:rFonts w:ascii="Consolas" w:hAnsi="Consolas"/>
          <w:sz w:val="16"/>
        </w:rPr>
        <w:t>| 6 | V5.5 ValidityReward | Rejects proposals likely to fail before construction/docking | 2,845 attempt-log samples | Final V5.5 generation gate |</w:t>
      </w:r>
    </w:p>
    <w:p>
      <w:r>
        <w:rPr>
          <w:rFonts w:ascii="Consolas" w:hAnsi="Consolas"/>
          <w:sz w:val="16"/>
        </w:rPr>
      </w:r>
    </w:p>
    <w:p>
      <w:r>
        <w:rPr>
          <w:rFonts w:ascii="Consolas" w:hAnsi="Consolas"/>
          <w:sz w:val="16"/>
        </w:rPr>
        <w:t>## Input-to-output working flow</w:t>
      </w:r>
    </w:p>
    <w:p>
      <w:r>
        <w:rPr>
          <w:rFonts w:ascii="Consolas" w:hAnsi="Consolas"/>
          <w:sz w:val="16"/>
        </w:rPr>
      </w:r>
    </w:p>
    <w:p>
      <w:r>
        <w:rPr>
          <w:rFonts w:ascii="Consolas" w:hAnsi="Consolas"/>
          <w:sz w:val="16"/>
        </w:rPr>
        <w:t>![Input to output flow](assets/v5_5_input_to_output_working_flow.png)</w:t>
      </w:r>
    </w:p>
    <w:p>
      <w:r>
        <w:rPr>
          <w:rFonts w:ascii="Consolas" w:hAnsi="Consolas"/>
          <w:sz w:val="16"/>
        </w:rPr>
      </w:r>
    </w:p>
    <w:p>
      <w:r>
        <w:rPr>
          <w:rFonts w:ascii="Consolas" w:hAnsi="Consolas"/>
          <w:sz w:val="16"/>
        </w:rPr>
        <w:t>## Where exactly are molecules generated?</w:t>
      </w:r>
    </w:p>
    <w:p>
      <w:r>
        <w:rPr>
          <w:rFonts w:ascii="Consolas" w:hAnsi="Consolas"/>
          <w:sz w:val="16"/>
        </w:rPr>
      </w:r>
    </w:p>
    <w:p>
      <w:r>
        <w:rPr>
          <w:rFonts w:ascii="Consolas" w:hAnsi="Consolas"/>
          <w:sz w:val="16"/>
        </w:rPr>
        <w:t>Molecules are generated in **Step 4: Molecule Generation**, inside:</w:t>
      </w:r>
    </w:p>
    <w:p>
      <w:r>
        <w:rPr>
          <w:rFonts w:ascii="Consolas" w:hAnsi="Consolas"/>
          <w:sz w:val="16"/>
        </w:rPr>
      </w:r>
    </w:p>
    <w:p>
      <w:r>
        <w:rPr>
          <w:rFonts w:ascii="Consolas" w:hAnsi="Consolas"/>
          <w:sz w:val="16"/>
        </w:rPr>
        <w:t>`scripts/29_generate_v5_5_pocket_guided.py`</w:t>
      </w:r>
    </w:p>
    <w:p>
      <w:r>
        <w:rPr>
          <w:rFonts w:ascii="Consolas" w:hAnsi="Consolas"/>
          <w:sz w:val="16"/>
        </w:rPr>
      </w:r>
    </w:p>
    <w:p>
      <w:r>
        <w:rPr>
          <w:rFonts w:ascii="Consolas" w:hAnsi="Consolas"/>
          <w:sz w:val="16"/>
        </w:rPr>
        <w:t>That script loads these final V5.5 checkpoints:</w:t>
      </w:r>
    </w:p>
    <w:p>
      <w:r>
        <w:rPr>
          <w:rFonts w:ascii="Consolas" w:hAnsi="Consolas"/>
          <w:sz w:val="16"/>
        </w:rPr>
      </w:r>
    </w:p>
    <w:p>
      <w:r>
        <w:rPr>
          <w:rFonts w:ascii="Consolas" w:hAnsi="Consolas"/>
          <w:sz w:val="16"/>
        </w:rPr>
        <w:t>- `04_models_checkpoints/v5_5_pocket_anchor_gnn/pocket_anchor_gnn_best.pt`</w:t>
      </w:r>
    </w:p>
    <w:p>
      <w:r>
        <w:rPr>
          <w:rFonts w:ascii="Consolas" w:hAnsi="Consolas"/>
          <w:sz w:val="16"/>
        </w:rPr>
        <w:t>- `04_models_checkpoints/v5_5_pocket_linker_policy/pocket_linker_policy_best.pt`</w:t>
      </w:r>
    </w:p>
    <w:p>
      <w:r>
        <w:rPr>
          <w:rFonts w:ascii="Consolas" w:hAnsi="Consolas"/>
          <w:sz w:val="16"/>
        </w:rPr>
        <w:t>- `04_models_checkpoints/v5_5_validity_reward/validity_reward_best.pt`</w:t>
      </w:r>
    </w:p>
    <w:p>
      <w:r>
        <w:rPr>
          <w:rFonts w:ascii="Consolas" w:hAnsi="Consolas"/>
          <w:sz w:val="16"/>
        </w:rPr>
      </w:r>
    </w:p>
    <w:p>
      <w:r>
        <w:rPr>
          <w:rFonts w:ascii="Consolas" w:hAnsi="Consolas"/>
          <w:sz w:val="16"/>
        </w:rPr>
        <w:t>Then it uses JAK2 seed ligands from the curated ChEMBL data. For each seed, it proposes anchor pairs and linker choices. The molecule is physically constructed by the project chemistry/linker construction code, not by docking and not by MED.</w:t>
      </w:r>
    </w:p>
    <w:p>
      <w:r>
        <w:rPr>
          <w:rFonts w:ascii="Consolas" w:hAnsi="Consolas"/>
          <w:sz w:val="16"/>
        </w:rPr>
      </w:r>
    </w:p>
    <w:p>
      <w:r>
        <w:rPr>
          <w:rFonts w:ascii="Consolas" w:hAnsi="Consolas"/>
          <w:sz w:val="16"/>
        </w:rPr>
        <w:t>Important: docking starts **after** molecule generation. Docking does not generate the molecules. Docking only places the already-generated candidate into the JAK2 pocket and scores the pose.</w:t>
      </w:r>
    </w:p>
    <w:p>
      <w:r>
        <w:rPr>
          <w:rFonts w:ascii="Consolas" w:hAnsi="Consolas"/>
          <w:sz w:val="16"/>
        </w:rPr>
      </w:r>
    </w:p>
    <w:p>
      <w:r>
        <w:rPr>
          <w:rFonts w:ascii="Consolas" w:hAnsi="Consolas"/>
          <w:sz w:val="16"/>
        </w:rPr>
        <w:t>## Final real outputs</w:t>
      </w:r>
    </w:p>
    <w:p>
      <w:r>
        <w:rPr>
          <w:rFonts w:ascii="Consolas" w:hAnsi="Consolas"/>
          <w:sz w:val="16"/>
        </w:rPr>
      </w:r>
    </w:p>
    <w:p>
      <w:r>
        <w:rPr>
          <w:rFonts w:ascii="Consolas" w:hAnsi="Consolas"/>
          <w:sz w:val="16"/>
        </w:rPr>
        <w:t>| Output | Real value |</w:t>
      </w:r>
    </w:p>
    <w:p>
      <w:r>
        <w:rPr>
          <w:rFonts w:ascii="Consolas" w:hAnsi="Consolas"/>
          <w:sz w:val="16"/>
        </w:rPr>
        <w:t>|---|---:|</w:t>
      </w:r>
    </w:p>
    <w:p>
      <w:r>
        <w:rPr>
          <w:rFonts w:ascii="Consolas" w:hAnsi="Consolas"/>
          <w:sz w:val="16"/>
        </w:rPr>
        <w:t>| Final accepted V5.5 candidates | 1,113 |</w:t>
      </w:r>
    </w:p>
    <w:p>
      <w:r>
        <w:rPr>
          <w:rFonts w:ascii="Consolas" w:hAnsi="Consolas"/>
          <w:sz w:val="16"/>
        </w:rPr>
        <w:t>| Unique final candidates | 1,113 |</w:t>
      </w:r>
    </w:p>
    <w:p>
      <w:r>
        <w:rPr>
          <w:rFonts w:ascii="Consolas" w:hAnsi="Consolas"/>
          <w:sz w:val="16"/>
        </w:rPr>
        <w:t>| Final logged attempts | 87,287 |</w:t>
      </w:r>
    </w:p>
    <w:p>
      <w:r>
        <w:rPr>
          <w:rFonts w:ascii="Consolas" w:hAnsi="Consolas"/>
          <w:sz w:val="16"/>
        </w:rPr>
        <w:t>| Reward-model rejections | 78,257 |</w:t>
      </w:r>
    </w:p>
    <w:p>
      <w:r>
        <w:rPr>
          <w:rFonts w:ascii="Consolas" w:hAnsi="Consolas"/>
          <w:sz w:val="16"/>
        </w:rPr>
        <w:t>| Valid output rows | 1,113 |</w:t>
      </w:r>
    </w:p>
    <w:p>
      <w:r>
        <w:rPr>
          <w:rFonts w:ascii="Consolas" w:hAnsi="Consolas"/>
          <w:sz w:val="16"/>
        </w:rPr>
        <w:t>| Vina-GPU parsed docking scores | 1,036 |</w:t>
      </w:r>
    </w:p>
    <w:p>
      <w:r>
        <w:rPr>
          <w:rFonts w:ascii="Consolas" w:hAnsi="Consolas"/>
          <w:sz w:val="16"/>
        </w:rPr>
        <w:t>| Best Vina-GPU score | -12.7 kcal/mol |</w:t>
      </w:r>
    </w:p>
    <w:p>
      <w:r>
        <w:rPr>
          <w:rFonts w:ascii="Consolas" w:hAnsi="Consolas"/>
          <w:sz w:val="16"/>
        </w:rPr>
        <w:t>| Median Vina-GPU score | -8.4 kcal/mol |</w:t>
      </w:r>
    </w:p>
    <w:p>
      <w:r>
        <w:rPr>
          <w:rFonts w:ascii="Consolas" w:hAnsi="Consolas"/>
          <w:sz w:val="16"/>
        </w:rPr>
        <w:t>| Top ranked candidate | CAND_3688f8acdc |</w:t>
      </w:r>
    </w:p>
    <w:p>
      <w:r>
        <w:rPr>
          <w:rFonts w:ascii="Consolas" w:hAnsi="Consolas"/>
          <w:sz w:val="16"/>
        </w:rPr>
      </w:r>
    </w:p>
    <w:p>
      <w:r>
        <w:rPr>
          <w:rFonts w:ascii="Consolas" w:hAnsi="Consolas"/>
          <w:sz w:val="16"/>
        </w:rPr>
        <w:t>## Short explanation for sir</w:t>
      </w:r>
    </w:p>
    <w:p>
      <w:r>
        <w:rPr>
          <w:rFonts w:ascii="Consolas" w:hAnsi="Consolas"/>
          <w:sz w:val="16"/>
        </w:rPr>
      </w:r>
    </w:p>
    <w:p>
      <w:r>
        <w:rPr>
          <w:rFonts w:ascii="Consolas" w:hAnsi="Consolas"/>
          <w:sz w:val="16"/>
        </w:rPr>
        <w:t>Sir, the latest version is V5.5. We can explain it as six model blocks. The older V5.3 names appear because those were our internal foundation/pretraining datasets and checkpoints. The final V5.5 molecules are generated by `scripts/29_generate_v5_5_pocket_guided.py`, using V5.5 PocketAnchorGNN, PocketLinkerPolicy, and ValidityReward checkpoints. Molecules are first generated as macrocycle candidates, then Vina-GPU docking and pocket-electronic scoring are used only for validation and ranking.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ElectroMacroDiff V5.5 Working Flow and Six Main Models</dc:title>
  <dc:subject>Project 1169 senior explanation document</dc:subject>
  <dc:creator>ElectroMacroDiff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