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5D6" w:rsidRDefault="00CB55D6" w:rsidP="00CB55D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/>
          <w:bCs/>
          <w:lang w:val="en-US"/>
        </w:rPr>
      </w:pPr>
      <w:r>
        <w:rPr>
          <w:rFonts w:asciiTheme="majorHAnsi" w:hAnsiTheme="majorHAnsi" w:cs="Arial"/>
          <w:b/>
          <w:bCs/>
          <w:lang w:val="en-US"/>
        </w:rPr>
        <w:t>COMP 2920 : Software Architecture &amp; Design</w:t>
      </w:r>
    </w:p>
    <w:p w:rsidR="00CB55D6" w:rsidRDefault="00CB55D6" w:rsidP="00CB55D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/>
          <w:bCs/>
          <w:lang w:val="en-US"/>
        </w:rPr>
      </w:pPr>
      <w:r>
        <w:rPr>
          <w:rFonts w:asciiTheme="majorHAnsi" w:hAnsiTheme="majorHAnsi" w:cs="Arial"/>
          <w:b/>
          <w:bCs/>
          <w:lang w:val="en-US"/>
        </w:rPr>
        <w:t>Class Identification Exercise</w:t>
      </w:r>
    </w:p>
    <w:p w:rsidR="00CB55D6" w:rsidRDefault="00CB55D6" w:rsidP="00CB55D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/>
          <w:bCs/>
          <w:lang w:val="en-US"/>
        </w:rPr>
      </w:pPr>
    </w:p>
    <w:p w:rsidR="00CB55D6" w:rsidRDefault="00CB55D6" w:rsidP="00CB55D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lang w:val="en-US"/>
        </w:rPr>
      </w:pPr>
      <w:r>
        <w:rPr>
          <w:rFonts w:asciiTheme="majorHAnsi" w:hAnsiTheme="majorHAnsi" w:cs="Arial"/>
          <w:b/>
          <w:bCs/>
          <w:lang w:val="en-US"/>
        </w:rPr>
        <w:t>Read the following case study and identify all the candidate classes for this scenario:</w:t>
      </w:r>
    </w:p>
    <w:p w:rsidR="00CB55D6" w:rsidRDefault="00CB55D6" w:rsidP="00CB55D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lang w:val="en-US"/>
        </w:rPr>
      </w:pPr>
    </w:p>
    <w:p w:rsidR="00DE2D30" w:rsidRPr="00DE2D30" w:rsidRDefault="00DE2D30" w:rsidP="00DE2D3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b/>
          <w:bCs/>
          <w:lang w:val="en-US"/>
        </w:rPr>
      </w:pPr>
      <w:r w:rsidRPr="00DE2D30">
        <w:rPr>
          <w:rFonts w:asciiTheme="majorHAnsi" w:hAnsiTheme="majorHAnsi" w:cs="Arial"/>
          <w:b/>
          <w:bCs/>
          <w:lang w:val="en-US"/>
        </w:rPr>
        <w:t>Online Stock Trading Example</w:t>
      </w:r>
    </w:p>
    <w:p w:rsidR="00DE2D30" w:rsidRDefault="00DE2D30" w:rsidP="00DE2D3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lang w:val="en-US"/>
        </w:rPr>
      </w:pPr>
      <w:r w:rsidRPr="00DE2D30">
        <w:rPr>
          <w:rFonts w:asciiTheme="majorHAnsi" w:hAnsiTheme="majorHAnsi" w:cs="Times New Roman"/>
          <w:lang w:val="en-US"/>
        </w:rPr>
        <w:t>The following problem statement is for an automated online stock trading</w:t>
      </w:r>
      <w:r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>system for a stock brokerage firm.</w:t>
      </w:r>
      <w:r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>A stock brokerage firm wants to provide an online stock trading service</w:t>
      </w:r>
      <w:r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>to enable its clients to make trades via the computer. With this system,</w:t>
      </w:r>
      <w:r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>a client must first be registered before he can trade online. The</w:t>
      </w:r>
      <w:r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>registration process involves the client providing his ID number,</w:t>
      </w:r>
      <w:r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>address and telephone number. A client may open one or more accounts</w:t>
      </w:r>
      <w:r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>for stock trading. The stock brokerage firm needs to be registered with</w:t>
      </w:r>
      <w:r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>a stock exchange before its clients can trade the stocks listed on the</w:t>
      </w:r>
      <w:r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>stock exchange. A stock brokerage firm can be registered with one or</w:t>
      </w:r>
      <w:r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>more stock exchanges. The stock brokerage firm may need to pay</w:t>
      </w:r>
      <w:r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>monthly charges for using the services provided by the stock exchange.</w:t>
      </w:r>
      <w:r>
        <w:rPr>
          <w:rFonts w:asciiTheme="majorHAnsi" w:hAnsiTheme="majorHAnsi" w:cs="Times New Roman"/>
          <w:lang w:val="en-US"/>
        </w:rPr>
        <w:t xml:space="preserve"> </w:t>
      </w:r>
    </w:p>
    <w:p w:rsidR="00DE2D30" w:rsidRPr="00DE2D30" w:rsidRDefault="00DE2D30" w:rsidP="00DE2D3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lang w:val="en-US"/>
        </w:rPr>
      </w:pPr>
    </w:p>
    <w:p w:rsidR="00DE2D30" w:rsidRPr="00DE2D30" w:rsidRDefault="00DE2D30" w:rsidP="00DE2D3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lang w:val="en-US"/>
        </w:rPr>
      </w:pPr>
      <w:r w:rsidRPr="00DE2D30">
        <w:rPr>
          <w:rFonts w:asciiTheme="majorHAnsi" w:hAnsiTheme="majorHAnsi" w:cs="Times New Roman"/>
          <w:lang w:val="en-US"/>
        </w:rPr>
        <w:t>Once registered, the client can buy and sell stocks. The client can check</w:t>
      </w:r>
      <w:r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>the current price, bid price, ask price and traded</w:t>
      </w:r>
      <w:r w:rsidRPr="00DE2D30"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>volume of a stock in</w:t>
      </w:r>
      <w:r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>real time. The stock price and traded volume information is provided by</w:t>
      </w:r>
      <w:r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>the stock exchange on which the stock is listed and traded. When a</w:t>
      </w:r>
      <w:r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>client issues a buy order for an account, the client must specify the</w:t>
      </w:r>
      <w:r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>stock code, the number of shares and the maximum price (bid price)</w:t>
      </w:r>
      <w:r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>that he is willing to pay for them. A client must have sufficient funds</w:t>
      </w:r>
    </w:p>
    <w:p w:rsidR="00DE2D30" w:rsidRDefault="00DE2D30" w:rsidP="00DE2D3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lang w:val="en-US"/>
        </w:rPr>
      </w:pPr>
      <w:r w:rsidRPr="00DE2D30">
        <w:rPr>
          <w:rFonts w:asciiTheme="majorHAnsi" w:hAnsiTheme="majorHAnsi" w:cs="Times New Roman"/>
          <w:lang w:val="en-US"/>
        </w:rPr>
        <w:t>in his account to settle the transaction when it is completed. When a</w:t>
      </w:r>
      <w:r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>client issues a sell order, the client must specify the stock code, the</w:t>
      </w:r>
      <w:r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>number of shares and the minimum price (ask price) that he is willing</w:t>
      </w:r>
      <w:r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>to sell them. The client must have sufficient number of shares of the</w:t>
      </w:r>
      <w:r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>stock in his account before he can issue the sell order.</w:t>
      </w:r>
      <w:r>
        <w:rPr>
          <w:rFonts w:asciiTheme="majorHAnsi" w:hAnsiTheme="majorHAnsi" w:cs="Times New Roman"/>
          <w:lang w:val="en-US"/>
        </w:rPr>
        <w:t xml:space="preserve"> </w:t>
      </w:r>
    </w:p>
    <w:p w:rsidR="00DE2D30" w:rsidRDefault="00DE2D30" w:rsidP="00DE2D3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lang w:val="en-US"/>
        </w:rPr>
      </w:pPr>
    </w:p>
    <w:p w:rsidR="00DE2D30" w:rsidRDefault="00DE2D30" w:rsidP="00DE2D3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lang w:val="en-US"/>
        </w:rPr>
      </w:pPr>
      <w:r w:rsidRPr="00DE2D30">
        <w:rPr>
          <w:rFonts w:asciiTheme="majorHAnsi" w:hAnsiTheme="majorHAnsi" w:cs="Times New Roman"/>
          <w:lang w:val="en-US"/>
        </w:rPr>
        <w:t>A client can check the status of execution of his (buy or sell) orders.</w:t>
      </w:r>
      <w:r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>The client can issue a buy or sell order before the end of the trading dayof the stock exchange which processed the order. All trade orders will be</w:t>
      </w:r>
      <w:r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>forwarded to the stock trading system of the stock exchange for</w:t>
      </w:r>
      <w:r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 xml:space="preserve">execution. </w:t>
      </w:r>
    </w:p>
    <w:p w:rsidR="00DE2D30" w:rsidRDefault="00DE2D30" w:rsidP="00DE2D3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lang w:val="en-US"/>
        </w:rPr>
      </w:pPr>
    </w:p>
    <w:p w:rsidR="00DE2D30" w:rsidRDefault="00DE2D30" w:rsidP="00DE2D3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lang w:val="en-US"/>
        </w:rPr>
      </w:pPr>
      <w:r w:rsidRPr="00DE2D30">
        <w:rPr>
          <w:rFonts w:asciiTheme="majorHAnsi" w:hAnsiTheme="majorHAnsi" w:cs="Times New Roman"/>
          <w:lang w:val="en-US"/>
        </w:rPr>
        <w:t>When an order is completed, the stock trading system of the</w:t>
      </w:r>
      <w:r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>stock exchange will return the transaction details of the order to the</w:t>
      </w:r>
      <w:r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>online stock trading system. The transaction details of a trade order</w:t>
      </w:r>
      <w:r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>may be a list of transactions, each transaction specifying the price and</w:t>
      </w:r>
      <w:r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>the number of shares traded. For example, the result of a buy order of</w:t>
      </w:r>
      <w:r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>20,000 HSBC (stock code: 0005) shares at HKD 88.00 in the Hong Kong</w:t>
      </w:r>
      <w:r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>Stock Exchange may be as follows:</w:t>
      </w:r>
    </w:p>
    <w:p w:rsidR="00DE2D30" w:rsidRPr="00DE2D30" w:rsidRDefault="00DE2D30" w:rsidP="00DE2D3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lang w:val="en-US"/>
        </w:rPr>
      </w:pPr>
    </w:p>
    <w:p w:rsidR="00DE2D30" w:rsidRPr="00DE2D30" w:rsidRDefault="00DE2D30" w:rsidP="00DE2D3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lang w:val="en-US"/>
        </w:rPr>
      </w:pPr>
      <w:r w:rsidRPr="00DE2D30">
        <w:rPr>
          <w:rFonts w:asciiTheme="majorHAnsi" w:hAnsiTheme="majorHAnsi" w:cs="Times New Roman"/>
          <w:lang w:val="en-US"/>
        </w:rPr>
        <w:t>• 4,000 shares at HKD 87.50</w:t>
      </w:r>
    </w:p>
    <w:p w:rsidR="00DE2D30" w:rsidRPr="00DE2D30" w:rsidRDefault="00DE2D30" w:rsidP="00DE2D3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lang w:val="en-US"/>
        </w:rPr>
      </w:pPr>
      <w:r w:rsidRPr="00DE2D30">
        <w:rPr>
          <w:rFonts w:asciiTheme="majorHAnsi" w:hAnsiTheme="majorHAnsi" w:cs="Times New Roman"/>
          <w:lang w:val="en-US"/>
        </w:rPr>
        <w:t>• 8,000 shares at HKD 87.75</w:t>
      </w:r>
    </w:p>
    <w:p w:rsidR="00DE2D30" w:rsidRPr="00DE2D30" w:rsidRDefault="00DE2D30" w:rsidP="00DE2D3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lang w:val="en-US"/>
        </w:rPr>
      </w:pPr>
      <w:r w:rsidRPr="00DE2D30">
        <w:rPr>
          <w:rFonts w:asciiTheme="majorHAnsi" w:hAnsiTheme="majorHAnsi" w:cs="Times New Roman"/>
          <w:lang w:val="en-US"/>
        </w:rPr>
        <w:t>• 8,000 shares at HKD 88.00</w:t>
      </w:r>
    </w:p>
    <w:p w:rsidR="00DE2D30" w:rsidRDefault="00DE2D30" w:rsidP="00DE2D3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lang w:val="en-US"/>
        </w:rPr>
      </w:pPr>
    </w:p>
    <w:p w:rsidR="00DE2D30" w:rsidRDefault="00DE2D30" w:rsidP="00DE2D3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lang w:val="en-US"/>
        </w:rPr>
      </w:pPr>
      <w:r w:rsidRPr="00DE2D30">
        <w:rPr>
          <w:rFonts w:asciiTheme="majorHAnsi" w:hAnsiTheme="majorHAnsi" w:cs="Times New Roman"/>
          <w:lang w:val="en-US"/>
        </w:rPr>
        <w:t>An order will be kept on the system for execution until the order is</w:t>
      </w:r>
      <w:r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 xml:space="preserve">completed or the end of a trading day. </w:t>
      </w:r>
    </w:p>
    <w:p w:rsidR="00DE2D30" w:rsidRPr="00DE2D30" w:rsidRDefault="00DE2D30" w:rsidP="00DE2D3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lang w:val="en-US"/>
        </w:rPr>
      </w:pPr>
      <w:r w:rsidRPr="00DE2D30">
        <w:rPr>
          <w:rFonts w:asciiTheme="majorHAnsi" w:hAnsiTheme="majorHAnsi" w:cs="Times New Roman"/>
          <w:lang w:val="en-US"/>
        </w:rPr>
        <w:t>There are three possible</w:t>
      </w:r>
      <w:r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>outcomes for a trade order:</w:t>
      </w:r>
    </w:p>
    <w:p w:rsidR="00DE2D30" w:rsidRPr="00DE2D30" w:rsidRDefault="00DE2D30" w:rsidP="00DE2D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lang w:val="en-US"/>
        </w:rPr>
      </w:pPr>
      <w:r w:rsidRPr="00DE2D30">
        <w:rPr>
          <w:rFonts w:asciiTheme="majorHAnsi" w:hAnsiTheme="majorHAnsi" w:cs="Times New Roman"/>
          <w:lang w:val="en-US"/>
        </w:rPr>
        <w:t xml:space="preserve">The trade order is completed. </w:t>
      </w:r>
      <w:r w:rsidRPr="00DE2D30">
        <w:rPr>
          <w:rFonts w:asciiTheme="majorHAnsi" w:hAnsiTheme="majorHAnsi" w:cs="Times New Roman"/>
          <w:lang w:val="en-US"/>
        </w:rPr>
        <w:t>For a buy order, the total amount for</w:t>
      </w:r>
      <w:r w:rsidRPr="00DE2D30"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>the buy order will be deducted from the client’s account and the</w:t>
      </w:r>
      <w:r w:rsidRPr="00DE2D30"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>number of shares of the stock purchased will be deposited into the</w:t>
      </w:r>
      <w:r w:rsidRPr="00DE2D30"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>account. For a sell order, the number of shares sold will be deducted</w:t>
      </w:r>
      <w:r w:rsidRPr="00DE2D30"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>from the client’s account and proceeds of the sell order will be</w:t>
      </w:r>
      <w:r w:rsidRPr="00DE2D30"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>deposited into the client’s account.</w:t>
      </w:r>
    </w:p>
    <w:p w:rsidR="00DE2D30" w:rsidRDefault="00DE2D30" w:rsidP="007F7E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lang w:val="en-US"/>
        </w:rPr>
      </w:pPr>
      <w:r w:rsidRPr="00DE2D30"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>The trade order is partially completed. The number of shares</w:t>
      </w:r>
      <w:r w:rsidRPr="00DE2D30"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>actually traded (sell or buy) is less than the number of shares</w:t>
      </w:r>
      <w:r w:rsidRPr="00DE2D30"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 xml:space="preserve">specified in the order. The number of shares successfully </w:t>
      </w:r>
      <w:r w:rsidRPr="00DE2D30">
        <w:rPr>
          <w:rFonts w:asciiTheme="majorHAnsi" w:hAnsiTheme="majorHAnsi" w:cs="Times New Roman"/>
          <w:lang w:val="en-US"/>
        </w:rPr>
        <w:lastRenderedPageBreak/>
        <w:t>traded in</w:t>
      </w:r>
      <w:r w:rsidRPr="00DE2D30"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>the order will be used to calculate the amount of the proceeds, and</w:t>
      </w:r>
      <w:r w:rsidRPr="00DE2D30"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>the client’s account is adjusted accordingly.</w:t>
      </w:r>
      <w:r w:rsidRPr="00DE2D30">
        <w:rPr>
          <w:rFonts w:asciiTheme="majorHAnsi" w:hAnsiTheme="majorHAnsi" w:cs="Times New Roman"/>
          <w:lang w:val="en-US"/>
        </w:rPr>
        <w:t xml:space="preserve"> </w:t>
      </w:r>
    </w:p>
    <w:p w:rsidR="00DE2D30" w:rsidRDefault="00DE2D30" w:rsidP="007F7E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lang w:val="en-US"/>
        </w:rPr>
      </w:pPr>
      <w:r w:rsidRPr="00DE2D30">
        <w:rPr>
          <w:rFonts w:asciiTheme="majorHAnsi" w:hAnsiTheme="majorHAnsi" w:cs="Times New Roman"/>
          <w:lang w:val="en-US"/>
        </w:rPr>
        <w:t>The trade order is not executed by the end of a trading day.</w:t>
      </w:r>
    </w:p>
    <w:p w:rsidR="00DE2D30" w:rsidRPr="00DE2D30" w:rsidRDefault="00DE2D30" w:rsidP="00DE2D3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lang w:val="en-US"/>
        </w:rPr>
      </w:pPr>
    </w:p>
    <w:p w:rsidR="00DE2D30" w:rsidRPr="00DE2D30" w:rsidRDefault="00DE2D30" w:rsidP="00DE2D3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lang w:val="en-US"/>
        </w:rPr>
      </w:pPr>
      <w:r w:rsidRPr="00DE2D30">
        <w:rPr>
          <w:rFonts w:asciiTheme="majorHAnsi" w:hAnsiTheme="majorHAnsi" w:cs="Times New Roman"/>
          <w:lang w:val="en-US"/>
        </w:rPr>
        <w:t>The order will be canceled.</w:t>
      </w:r>
    </w:p>
    <w:p w:rsidR="00DE2D30" w:rsidRPr="00DE2D30" w:rsidRDefault="00DE2D30" w:rsidP="00DE2D3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lang w:val="en-US"/>
        </w:rPr>
      </w:pPr>
      <w:r w:rsidRPr="00DE2D30">
        <w:rPr>
          <w:rFonts w:asciiTheme="majorHAnsi" w:hAnsiTheme="majorHAnsi" w:cs="Times New Roman"/>
          <w:lang w:val="en-US"/>
        </w:rPr>
        <w:t>A stock exchange may require that the number of shares specified</w:t>
      </w:r>
      <w:r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>in an order must be in multiples of the lot size of the stock. Each stock</w:t>
      </w:r>
      <w:r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>has its own lot size. Common lot sizes are 1, 400, 500, 1,000 and</w:t>
      </w:r>
      <w:r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>2,000 shares.</w:t>
      </w:r>
    </w:p>
    <w:p w:rsidR="00DE2D30" w:rsidRDefault="00DE2D30" w:rsidP="00DE2D3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lang w:val="en-US"/>
        </w:rPr>
      </w:pPr>
    </w:p>
    <w:p w:rsidR="007774BE" w:rsidRDefault="00DE2D30" w:rsidP="00DE2D3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lang w:val="en-US"/>
        </w:rPr>
      </w:pPr>
      <w:r w:rsidRPr="00DE2D30">
        <w:rPr>
          <w:rFonts w:asciiTheme="majorHAnsi" w:hAnsiTheme="majorHAnsi" w:cs="Times New Roman"/>
          <w:lang w:val="en-US"/>
        </w:rPr>
        <w:t>The client can deposit or withdraw cash or stock shares from his</w:t>
      </w:r>
      <w:r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>account. Upon the deposit or withdrawal of cash or stock shares,</w:t>
      </w:r>
      <w:r>
        <w:rPr>
          <w:rFonts w:asciiTheme="majorHAnsi" w:hAnsiTheme="majorHAnsi" w:cs="Times New Roman"/>
          <w:lang w:val="en-US"/>
        </w:rPr>
        <w:t xml:space="preserve"> </w:t>
      </w:r>
      <w:r w:rsidRPr="00DE2D30">
        <w:rPr>
          <w:rFonts w:asciiTheme="majorHAnsi" w:hAnsiTheme="majorHAnsi" w:cs="Times New Roman"/>
          <w:lang w:val="en-US"/>
        </w:rPr>
        <w:t>the account cash or stock balance will be updated accordingly.</w:t>
      </w:r>
    </w:p>
    <w:p w:rsidR="00DE2D30" w:rsidRDefault="00DE2D30" w:rsidP="00DE2D3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lang w:val="en-US"/>
        </w:rPr>
      </w:pPr>
    </w:p>
    <w:p w:rsidR="00BB2622" w:rsidRDefault="00BB2622" w:rsidP="00DE2D3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lang w:val="en-US"/>
        </w:rPr>
      </w:pPr>
      <w:r>
        <w:rPr>
          <w:rFonts w:asciiTheme="majorHAnsi" w:hAnsiTheme="majorHAnsi" w:cs="Times New Roman"/>
          <w:lang w:val="en-US"/>
        </w:rPr>
        <w:t>Identify the nouns and noun phrases extracted from the above case study and list them here.</w:t>
      </w:r>
    </w:p>
    <w:p w:rsidR="00BB2622" w:rsidRDefault="00BB2622" w:rsidP="00DE2D3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2622" w:rsidTr="00BB2622">
        <w:tc>
          <w:tcPr>
            <w:tcW w:w="4675" w:type="dxa"/>
          </w:tcPr>
          <w:p w:rsidR="00BB2622" w:rsidRDefault="00BB2622" w:rsidP="00DE2D30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</w:rPr>
            </w:pPr>
          </w:p>
          <w:p w:rsidR="00BB2622" w:rsidRDefault="00BB2622" w:rsidP="00DE2D30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Stock brokerage firm (concept)</w:t>
            </w:r>
          </w:p>
        </w:tc>
        <w:tc>
          <w:tcPr>
            <w:tcW w:w="4675" w:type="dxa"/>
          </w:tcPr>
          <w:p w:rsidR="00BB2622" w:rsidRDefault="00BB2622" w:rsidP="00DE2D30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</w:rPr>
            </w:pPr>
          </w:p>
        </w:tc>
      </w:tr>
      <w:tr w:rsidR="00BB2622" w:rsidTr="00BB2622">
        <w:tc>
          <w:tcPr>
            <w:tcW w:w="4675" w:type="dxa"/>
          </w:tcPr>
          <w:p w:rsidR="00BB2622" w:rsidRDefault="00BB2622" w:rsidP="00DE2D30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</w:rPr>
            </w:pPr>
            <w:bookmarkStart w:id="0" w:name="_GoBack"/>
            <w:bookmarkEnd w:id="0"/>
          </w:p>
          <w:p w:rsidR="00BB2622" w:rsidRDefault="00BB2622" w:rsidP="00DE2D30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</w:rPr>
            </w:pPr>
          </w:p>
        </w:tc>
        <w:tc>
          <w:tcPr>
            <w:tcW w:w="4675" w:type="dxa"/>
          </w:tcPr>
          <w:p w:rsidR="00BB2622" w:rsidRDefault="00BB2622" w:rsidP="00DE2D30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</w:rPr>
            </w:pPr>
          </w:p>
        </w:tc>
      </w:tr>
      <w:tr w:rsidR="00BB2622" w:rsidTr="00BB2622">
        <w:tc>
          <w:tcPr>
            <w:tcW w:w="4675" w:type="dxa"/>
          </w:tcPr>
          <w:p w:rsidR="00BB2622" w:rsidRDefault="00BB2622" w:rsidP="00DE2D30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</w:rPr>
            </w:pPr>
          </w:p>
          <w:p w:rsidR="00BB2622" w:rsidRDefault="00BB2622" w:rsidP="00DE2D30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</w:rPr>
            </w:pPr>
          </w:p>
        </w:tc>
        <w:tc>
          <w:tcPr>
            <w:tcW w:w="4675" w:type="dxa"/>
          </w:tcPr>
          <w:p w:rsidR="00BB2622" w:rsidRDefault="00BB2622" w:rsidP="00DE2D30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</w:rPr>
            </w:pPr>
          </w:p>
        </w:tc>
      </w:tr>
      <w:tr w:rsidR="00BB2622" w:rsidTr="00BB2622">
        <w:tc>
          <w:tcPr>
            <w:tcW w:w="4675" w:type="dxa"/>
          </w:tcPr>
          <w:p w:rsidR="00BB2622" w:rsidRDefault="00BB2622" w:rsidP="00DE2D30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</w:rPr>
            </w:pPr>
          </w:p>
          <w:p w:rsidR="00BB2622" w:rsidRDefault="00BB2622" w:rsidP="00DE2D30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</w:rPr>
            </w:pPr>
          </w:p>
        </w:tc>
        <w:tc>
          <w:tcPr>
            <w:tcW w:w="4675" w:type="dxa"/>
          </w:tcPr>
          <w:p w:rsidR="00BB2622" w:rsidRDefault="00BB2622" w:rsidP="00DE2D30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</w:rPr>
            </w:pPr>
          </w:p>
        </w:tc>
      </w:tr>
      <w:tr w:rsidR="00BB2622" w:rsidTr="00BB2622">
        <w:tc>
          <w:tcPr>
            <w:tcW w:w="4675" w:type="dxa"/>
          </w:tcPr>
          <w:p w:rsidR="00BB2622" w:rsidRDefault="00BB2622" w:rsidP="00DE2D30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</w:rPr>
            </w:pPr>
          </w:p>
          <w:p w:rsidR="00BB2622" w:rsidRDefault="00BB2622" w:rsidP="00DE2D30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</w:rPr>
            </w:pPr>
          </w:p>
        </w:tc>
        <w:tc>
          <w:tcPr>
            <w:tcW w:w="4675" w:type="dxa"/>
          </w:tcPr>
          <w:p w:rsidR="00BB2622" w:rsidRDefault="00BB2622" w:rsidP="00DE2D30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</w:rPr>
            </w:pPr>
          </w:p>
        </w:tc>
      </w:tr>
      <w:tr w:rsidR="00BB2622" w:rsidTr="00BB2622">
        <w:tc>
          <w:tcPr>
            <w:tcW w:w="4675" w:type="dxa"/>
          </w:tcPr>
          <w:p w:rsidR="00BB2622" w:rsidRDefault="00BB2622" w:rsidP="00DE2D30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</w:rPr>
            </w:pPr>
          </w:p>
          <w:p w:rsidR="00BB2622" w:rsidRDefault="00BB2622" w:rsidP="00DE2D30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</w:rPr>
            </w:pPr>
          </w:p>
        </w:tc>
        <w:tc>
          <w:tcPr>
            <w:tcW w:w="4675" w:type="dxa"/>
          </w:tcPr>
          <w:p w:rsidR="00BB2622" w:rsidRDefault="00BB2622" w:rsidP="00DE2D30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</w:rPr>
            </w:pPr>
          </w:p>
        </w:tc>
      </w:tr>
      <w:tr w:rsidR="00BB2622" w:rsidTr="00BB2622">
        <w:tc>
          <w:tcPr>
            <w:tcW w:w="4675" w:type="dxa"/>
          </w:tcPr>
          <w:p w:rsidR="00BB2622" w:rsidRDefault="00BB2622" w:rsidP="00DE2D30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</w:rPr>
            </w:pPr>
          </w:p>
          <w:p w:rsidR="00BB2622" w:rsidRDefault="00BB2622" w:rsidP="00DE2D30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</w:rPr>
            </w:pPr>
          </w:p>
        </w:tc>
        <w:tc>
          <w:tcPr>
            <w:tcW w:w="4675" w:type="dxa"/>
          </w:tcPr>
          <w:p w:rsidR="00BB2622" w:rsidRDefault="00BB2622" w:rsidP="00DE2D30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</w:rPr>
            </w:pPr>
          </w:p>
        </w:tc>
      </w:tr>
    </w:tbl>
    <w:p w:rsidR="00DE2D30" w:rsidRPr="00DE2D30" w:rsidRDefault="00DE2D30" w:rsidP="00DE2D3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</w:rPr>
      </w:pPr>
    </w:p>
    <w:sectPr w:rsidR="00DE2D30" w:rsidRPr="00DE2D30" w:rsidSect="00BB2622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84647"/>
    <w:multiLevelType w:val="hybridMultilevel"/>
    <w:tmpl w:val="C1488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D30"/>
    <w:rsid w:val="00311C0D"/>
    <w:rsid w:val="007774BE"/>
    <w:rsid w:val="00BB2622"/>
    <w:rsid w:val="00CB55D6"/>
    <w:rsid w:val="00DE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83EF"/>
  <w15:chartTrackingRefBased/>
  <w15:docId w15:val="{1106B74A-9B03-480F-812F-FF080D9F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D30"/>
    <w:pPr>
      <w:ind w:left="720"/>
      <w:contextualSpacing/>
    </w:pPr>
  </w:style>
  <w:style w:type="table" w:styleId="TableGrid">
    <w:name w:val="Table Grid"/>
    <w:basedOn w:val="TableNormal"/>
    <w:uiPriority w:val="59"/>
    <w:rsid w:val="00BB2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620</Words>
  <Characters>3538</Characters>
  <Application>Microsoft Office Word</Application>
  <DocSecurity>0</DocSecurity>
  <Lines>29</Lines>
  <Paragraphs>8</Paragraphs>
  <ScaleCrop>false</ScaleCrop>
  <Company>Thompson Rivers University</Company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Msharma</dc:creator>
  <cp:keywords/>
  <dc:description/>
  <cp:lastModifiedBy>Msharma</cp:lastModifiedBy>
  <cp:revision>3</cp:revision>
  <dcterms:created xsi:type="dcterms:W3CDTF">2017-10-03T00:55:00Z</dcterms:created>
  <dcterms:modified xsi:type="dcterms:W3CDTF">2017-10-03T01:03:00Z</dcterms:modified>
</cp:coreProperties>
</file>