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Lampiran VIII Surat Menteri Agraria dan Tata Ruang/Kepala Badan Pertanahan Nasional </w:t>
      </w:r>
    </w:p>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Nomor</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KU.01.04/488-100/IV/2022</w:t>
      </w:r>
    </w:p>
    <w:p>
      <w:pPr>
        <w:tabs>
          <w:tab w:val="left" w:pos="4253"/>
        </w:tabs>
        <w:spacing w:line="276" w:lineRule="auto"/>
        <w:ind w:left="3686"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Tanggal</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6 April 2022</w:t>
      </w: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CONTOH FORMAT</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 JAWAB MUTLAK (SPTJM)</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KOP SURAT</w:t>
      </w:r>
    </w:p>
    <w:p>
      <w:pPr>
        <w:spacing w:line="240" w:lineRule="auto"/>
        <w:jc w:val="center"/>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 JAWAB MUTLAK</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Yang bertanda tangan di bawah ini:</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Nama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{1}</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NIP</w:t>
      </w:r>
      <w:r>
        <w:rPr>
          <w:rFonts w:hint="default" w:ascii="Bookman Old Style" w:hAnsi="Bookman Old Style" w:eastAsia="Bookman Old Style" w:cs="Bookman Old Style"/>
          <w:sz w:val="24"/>
          <w:szCs w:val="24"/>
          <w:rtl w:val="0"/>
          <w:lang w:val="en-US"/>
        </w:rPr>
        <w:tab/>
      </w:r>
      <w:r>
        <w:rPr>
          <w:rFonts w:hint="default" w:ascii="Bookman Old Style" w:hAnsi="Bookman Old Style" w:eastAsia="Bookman Old Style" w:cs="Bookman Old Style"/>
          <w:sz w:val="24"/>
          <w:szCs w:val="24"/>
          <w:rtl w:val="0"/>
          <w:lang w:val="en-US"/>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{2}</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Jabatan </w:t>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ab/>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{3}</w:t>
      </w:r>
      <w:r>
        <w:rPr>
          <w:rFonts w:ascii="Bookman Old Style" w:hAnsi="Bookman Old Style" w:eastAsia="Bookman Old Style" w:cs="Bookman Old Style"/>
          <w:sz w:val="24"/>
          <w:szCs w:val="24"/>
          <w:rtl w:val="0"/>
        </w:rPr>
        <w:t xml:space="preserve"> </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menyatakan dengan sesungguhnya bahwa:</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Bertanggung jawab penuh atas permintaan pembayaran pengembalian Penerimaan Negara pada </w:t>
      </w:r>
      <w:r>
        <w:rPr>
          <w:rFonts w:hint="default" w:ascii="Bookman Old Style" w:hAnsi="Bookman Old Style" w:eastAsia="Bookman Old Style" w:cs="Bookman Old Style"/>
          <w:sz w:val="24"/>
          <w:szCs w:val="24"/>
          <w:rtl w:val="0"/>
          <w:lang w:val="en-US"/>
        </w:rPr>
        <w:t>{4}</w:t>
      </w:r>
      <w:r>
        <w:rPr>
          <w:rFonts w:ascii="Bookman Old Style" w:hAnsi="Bookman Old Style" w:eastAsia="Bookman Old Style" w:cs="Bookman Old Style"/>
          <w:sz w:val="24"/>
          <w:szCs w:val="24"/>
          <w:rtl w:val="0"/>
        </w:rPr>
        <w:t xml:space="preserve"> sebesar Rp </w:t>
      </w:r>
      <w:r>
        <w:rPr>
          <w:rFonts w:hint="default" w:ascii="Bookman Old Style" w:hAnsi="Bookman Old Style" w:eastAsia="Bookman Old Style" w:cs="Bookman Old Style"/>
          <w:sz w:val="24"/>
          <w:szCs w:val="24"/>
          <w:rtl w:val="0"/>
          <w:lang w:val="en-US"/>
        </w:rPr>
        <w:t>{5}</w:t>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{6}</w:t>
      </w:r>
      <w:r>
        <w:rPr>
          <w:rFonts w:ascii="Bookman Old Style" w:hAnsi="Bookman Old Style" w:eastAsia="Bookman Old Style" w:cs="Bookman Old Style"/>
          <w:sz w:val="24"/>
          <w:szCs w:val="24"/>
          <w:rtl w:val="0"/>
        </w:rPr>
        <w:t>) untuk keperluan ....... (7).</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Apabila di kemudian hari terdapat kesalahan dan/atau kelebihan atas pembayaran pengembalian Penerimaan Negara tersebut, sebagian atau seluruhnya, kami bertanggung jawab sepenuhnya dan bersedia menyetorkan kembali kelebihan pembayaran tersebut ke Kas Negara.</w:t>
      </w:r>
    </w:p>
    <w:p>
      <w:pPr>
        <w:numPr>
          <w:ilvl w:val="1"/>
          <w:numId w:val="1"/>
        </w:numPr>
        <w:spacing w:line="240" w:lineRule="auto"/>
        <w:ind w:left="567"/>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Segala akibat yang timbul dari pembayaran pengembalian Penerimaan Negara ini menjadi tanggung jawab kami sepenuhnya.</w:t>
      </w:r>
    </w:p>
    <w:p>
      <w:pPr>
        <w:spacing w:line="240" w:lineRule="auto"/>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Demikian pernyataan ini kami buat dengan sebenar-benarnya.</w:t>
      </w:r>
    </w:p>
    <w:p>
      <w:pPr>
        <w:spacing w:line="240" w:lineRule="auto"/>
        <w:jc w:val="both"/>
        <w:rPr>
          <w:rFonts w:ascii="Bookman Old Style" w:hAnsi="Bookman Old Style" w:eastAsia="Bookman Old Style" w:cs="Bookman Old Style"/>
          <w:sz w:val="24"/>
          <w:szCs w:val="24"/>
        </w:rPr>
      </w:pPr>
    </w:p>
    <w:p>
      <w:pPr>
        <w:spacing w:line="240" w:lineRule="auto"/>
        <w:jc w:val="both"/>
        <w:rPr>
          <w:rFonts w:ascii="Bookman Old Style" w:hAnsi="Bookman Old Style" w:eastAsia="Bookman Old Style" w:cs="Bookman Old Style"/>
          <w:sz w:val="24"/>
          <w:szCs w:val="24"/>
        </w:rPr>
      </w:pP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rtl w:val="0"/>
          <w:lang w:val="en-US"/>
        </w:rPr>
        <w:t>{8}</w:t>
      </w:r>
      <w:r>
        <w:rPr>
          <w:rFonts w:ascii="Bookman Old Style" w:hAnsi="Bookman Old Style" w:eastAsia="Bookman Old Style" w:cs="Bookman Old Style"/>
          <w:sz w:val="24"/>
          <w:szCs w:val="24"/>
          <w:rtl w:val="0"/>
        </w:rPr>
        <w:t xml:space="preserve">, </w:t>
      </w:r>
      <w:r>
        <w:rPr>
          <w:rFonts w:hint="default" w:ascii="Bookman Old Style" w:hAnsi="Bookman Old Style" w:eastAsia="Bookman Old Style" w:cs="Bookman Old Style"/>
          <w:sz w:val="24"/>
          <w:szCs w:val="24"/>
          <w:rtl w:val="0"/>
          <w:lang w:val="en-US"/>
        </w:rPr>
        <w:t>{9}</w:t>
      </w: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{10</w:t>
      </w:r>
      <w:bookmarkStart w:id="0" w:name="_GoBack"/>
      <w:bookmarkEnd w:id="0"/>
      <w:r>
        <w:rPr>
          <w:rFonts w:hint="default" w:ascii="Bookman Old Style" w:hAnsi="Bookman Old Style" w:eastAsia="Bookman Old Style" w:cs="Bookman Old Style"/>
          <w:sz w:val="24"/>
          <w:szCs w:val="24"/>
          <w:lang w:val="en-US"/>
        </w:rPr>
        <w:t>}</w:t>
      </w:r>
    </w:p>
    <w:p>
      <w:pPr>
        <w:spacing w:line="240" w:lineRule="auto"/>
        <w:ind w:left="5387" w:firstLine="0"/>
        <w:jc w:val="both"/>
        <w:rPr>
          <w:rFonts w:ascii="Bookman Old Style" w:hAnsi="Bookman Old Style" w:eastAsia="Bookman Old Style" w:cs="Bookman Old Style"/>
          <w:sz w:val="24"/>
          <w:szCs w:val="24"/>
        </w:rPr>
      </w:pPr>
    </w:p>
    <w:p>
      <w:pPr>
        <w:spacing w:line="240" w:lineRule="auto"/>
        <w:ind w:left="5387"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Meterai</w:t>
      </w:r>
    </w:p>
    <w:p>
      <w:pPr>
        <w:spacing w:line="240" w:lineRule="auto"/>
        <w:ind w:left="5387" w:firstLine="0"/>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Rp10.000,00 (11)</w:t>
      </w:r>
    </w:p>
    <w:p>
      <w:pPr>
        <w:spacing w:line="240" w:lineRule="auto"/>
        <w:ind w:left="5387" w:firstLine="0"/>
        <w:jc w:val="both"/>
        <w:rPr>
          <w:rFonts w:ascii="Bookman Old Style" w:hAnsi="Bookman Old Style" w:eastAsia="Bookman Old Style" w:cs="Bookman Old Style"/>
          <w:sz w:val="24"/>
          <w:szCs w:val="24"/>
        </w:rPr>
      </w:pP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{12}</w:t>
      </w:r>
    </w:p>
    <w:p>
      <w:pPr>
        <w:spacing w:line="240" w:lineRule="auto"/>
        <w:ind w:left="5387" w:firstLine="0"/>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rtl w:val="0"/>
          <w:lang w:val="en-US"/>
        </w:rPr>
        <w:t>{13}</w:t>
      </w:r>
    </w:p>
    <w:p>
      <w:pPr>
        <w:spacing w:line="240" w:lineRule="auto"/>
        <w:rPr>
          <w:rFonts w:ascii="Bookman Old Style" w:hAnsi="Bookman Old Style" w:eastAsia="Bookman Old Style" w:cs="Bookman Old Style"/>
          <w:sz w:val="24"/>
          <w:szCs w:val="24"/>
        </w:rPr>
      </w:pPr>
      <w:r>
        <w:br w:type="page"/>
      </w:r>
    </w:p>
    <w:p>
      <w:pPr>
        <w:spacing w:after="160" w:line="259" w:lineRule="auto"/>
        <w:jc w:val="both"/>
        <w:rPr>
          <w:rFonts w:ascii="Bookman Old Style" w:hAnsi="Bookman Old Style" w:eastAsia="Bookman Old Style" w:cs="Bookman Old Style"/>
          <w:sz w:val="24"/>
          <w:szCs w:val="24"/>
        </w:rPr>
      </w:pPr>
    </w:p>
    <w:p>
      <w:pPr>
        <w:spacing w:after="160" w:line="259" w:lineRule="auto"/>
        <w:jc w:val="both"/>
        <w:rPr>
          <w:rFonts w:ascii="Bookman Old Style" w:hAnsi="Bookman Old Style" w:eastAsia="Bookman Old Style" w:cs="Bookman Old Style"/>
          <w:sz w:val="24"/>
          <w:szCs w:val="24"/>
        </w:rPr>
      </w:pP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PETUNJUK PENGISIAN</w:t>
      </w:r>
    </w:p>
    <w:p>
      <w:pPr>
        <w:spacing w:line="240" w:lineRule="auto"/>
        <w:jc w:val="center"/>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SURAT PERNYATAAN TANGGUNGJAWAB MUTLAK</w:t>
      </w:r>
    </w:p>
    <w:p>
      <w:pPr>
        <w:spacing w:line="240" w:lineRule="auto"/>
        <w:jc w:val="both"/>
        <w:rPr>
          <w:rFonts w:ascii="Bookman Old Style" w:hAnsi="Bookman Old Style" w:eastAsia="Bookman Old Style" w:cs="Bookman Old Style"/>
          <w:sz w:val="24"/>
          <w:szCs w:val="24"/>
        </w:rPr>
      </w:pP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Nomor Induk Pegawai (NIP)/Nomor Register Pegawai (NRP)/Nomor Pendaftaran Perusahaan (NPP)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jabatan pejabat yang menetapkan.</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satuan kerja/</w:t>
      </w:r>
      <w:r>
        <w:rPr>
          <w:rFonts w:ascii="Bookman Old Style" w:hAnsi="Bookman Old Style" w:eastAsia="Bookman Old Style" w:cs="Bookman Old Style"/>
          <w:i/>
          <w:sz w:val="24"/>
          <w:szCs w:val="24"/>
          <w:rtl w:val="0"/>
        </w:rPr>
        <w:t>Collecting Agent</w:t>
      </w:r>
      <w:r>
        <w:rPr>
          <w:rFonts w:ascii="Bookman Old Style" w:hAnsi="Bookman Old Style" w:eastAsia="Bookman Old Style" w:cs="Bookman Old Style"/>
          <w:sz w:val="24"/>
          <w:szCs w:val="24"/>
          <w:rtl w:val="0"/>
        </w:rPr>
        <w:t>/bank penyetor/badan lainnya.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nominal rupiah dalam angka.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jumlah nominal rupiah dalarn huruf.</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keperluan/maksud pengernbalian atas Penerimaan Negara.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tempat SPTJM dibuat dan ditandatangani.</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tanggal, bulan dan tahun saat SPTJM dibuat dan ditandatangani.</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w:t>
      </w:r>
    </w:p>
    <w:p>
      <w:pPr>
        <w:numPr>
          <w:ilvl w:val="0"/>
          <w:numId w:val="3"/>
        </w:numPr>
        <w:spacing w:line="240" w:lineRule="auto"/>
        <w:ind w:left="1701" w:hanging="425"/>
        <w:jc w:val="both"/>
        <w:rPr>
          <w:rFonts w:ascii="Bookman Old Style" w:hAnsi="Bookman Old Style" w:eastAsia="Bookman Old Style" w:cs="Bookman Old Style"/>
          <w:i/>
          <w:sz w:val="24"/>
          <w:szCs w:val="24"/>
        </w:rPr>
      </w:pPr>
      <w:r>
        <w:rPr>
          <w:rFonts w:ascii="Bookman Old Style" w:hAnsi="Bookman Old Style" w:eastAsia="Bookman Old Style" w:cs="Bookman Old Style"/>
          <w:sz w:val="24"/>
          <w:szCs w:val="24"/>
          <w:rtl w:val="0"/>
        </w:rPr>
        <w:t xml:space="preserve">Nama jabatan pada </w:t>
      </w:r>
      <w:r>
        <w:rPr>
          <w:rFonts w:ascii="Bookman Old Style" w:hAnsi="Bookman Old Style" w:eastAsia="Bookman Old Style" w:cs="Bookman Old Style"/>
          <w:i/>
          <w:sz w:val="24"/>
          <w:szCs w:val="24"/>
          <w:rtl w:val="0"/>
        </w:rPr>
        <w:t>Collecting Agent</w:t>
      </w:r>
      <w:r>
        <w:rPr>
          <w:rFonts w:ascii="Bookman Old Style" w:hAnsi="Bookman Old Style" w:eastAsia="Bookman Old Style" w:cs="Bookman Old Style"/>
          <w:sz w:val="24"/>
          <w:szCs w:val="24"/>
          <w:rtl w:val="0"/>
        </w:rPr>
        <w:t xml:space="preserve"> yang menandatangani SPTJM, untuk pengembalian Penerimaan Negara karena kesalahan perekaman dan eksekusi kode </w:t>
      </w:r>
      <w:r>
        <w:rPr>
          <w:rFonts w:ascii="Bookman Old Style" w:hAnsi="Bookman Old Style" w:eastAsia="Bookman Old Style" w:cs="Bookman Old Style"/>
          <w:i/>
          <w:sz w:val="24"/>
          <w:szCs w:val="24"/>
          <w:rtl w:val="0"/>
        </w:rPr>
        <w:t>billing</w:t>
      </w:r>
      <w:r>
        <w:rPr>
          <w:rFonts w:ascii="Bookman Old Style" w:hAnsi="Bookman Old Style" w:eastAsia="Bookman Old Style" w:cs="Bookman Old Style"/>
          <w:sz w:val="24"/>
          <w:szCs w:val="24"/>
          <w:rtl w:val="0"/>
        </w:rPr>
        <w:t xml:space="preserve"> dan/atau gangguan sistem pada </w:t>
      </w:r>
      <w:r>
        <w:rPr>
          <w:rFonts w:ascii="Bookman Old Style" w:hAnsi="Bookman Old Style" w:eastAsia="Bookman Old Style" w:cs="Bookman Old Style"/>
          <w:i/>
          <w:sz w:val="24"/>
          <w:szCs w:val="24"/>
          <w:rtl w:val="0"/>
        </w:rPr>
        <w:t>Collecting Agent.</w:t>
      </w:r>
    </w:p>
    <w:p>
      <w:pPr>
        <w:numPr>
          <w:ilvl w:val="0"/>
          <w:numId w:val="3"/>
        </w:numPr>
        <w:spacing w:line="240" w:lineRule="auto"/>
        <w:ind w:left="1701" w:hanging="425"/>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Kuasa Pengguna Anggaran, untuk pengembalian karena kelebihan pembayaran PNBP, keterlanjuran penyetoran dana oleh bendahara pengeluaran rnenggunakan akun pengembalian sisa UP/TUP, dan kesalahan penyetoran Penerimaan Negara yang tidak dapat diklasifikasikan sebagai PNBP, penerimaan pajak, penerimaan bea dan cukai dan penerimaan dana perhitungan pihak ketiga yang disetor langsung ke Rekening Kas Umum Negara.</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dengan tanda tangan pejabat yang menandatangani SPTJM dan dibubuhi cap dinas.</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nama pejabat penerbit SPTJM.</w:t>
      </w:r>
    </w:p>
    <w:p>
      <w:pPr>
        <w:numPr>
          <w:ilvl w:val="0"/>
          <w:numId w:val="2"/>
        </w:numPr>
        <w:spacing w:line="240" w:lineRule="auto"/>
        <w:ind w:left="1276" w:hanging="709"/>
        <w:jc w:val="both"/>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Diisi NIP/NRP/NPP pejabat penerbit SPTJM.</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1440" w:hanging="360"/>
      </w:p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C33D20"/>
    <w:rsid w:val="21CE0502"/>
    <w:rsid w:val="43CF4EFE"/>
    <w:rsid w:val="5114032F"/>
    <w:rsid w:val="550B08C7"/>
    <w:rsid w:val="64973783"/>
    <w:rsid w:val="658225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2022-10-13T07:41:00Z</dcterms:created>
  <dc:creator>bill</dc:creator>
  <cp:lastModifiedBy>Bill Yosafat</cp:lastModifiedBy>
  <dcterms:modified xsi:type="dcterms:W3CDTF">2022-10-14T03:54:12Z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4EC302CB2DD7409FA8931FBDE13EFEFC</vt:lpwstr>
  </property>
</Properties>
</file>