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FAB" w:rsidRPr="00AB0C7A" w:rsidRDefault="00E34FAB">
      <w:pPr>
        <w:rPr>
          <w:b/>
          <w:lang w:val="en-US"/>
        </w:rPr>
      </w:pPr>
      <w:r w:rsidRPr="00AB0C7A">
        <w:rPr>
          <w:b/>
          <w:lang w:val="en-US"/>
        </w:rPr>
        <w:t>Step-by-Step instructions</w:t>
      </w:r>
    </w:p>
    <w:p w:rsidR="00E34FAB" w:rsidRDefault="00E34FAB" w:rsidP="00E34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TeloTool can only be used on a 64bit Windows Platform.</w:t>
      </w:r>
    </w:p>
    <w:p w:rsidR="00E34FAB" w:rsidRPr="00E34FAB" w:rsidRDefault="00E34FAB" w:rsidP="00E34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download install the 64bit </w:t>
      </w:r>
      <w:r w:rsidRPr="00D816EB">
        <w:rPr>
          <w:rFonts w:ascii="Arial" w:hAnsi="Arial"/>
          <w:sz w:val="20"/>
          <w:szCs w:val="20"/>
          <w:lang w:val="en-US"/>
        </w:rPr>
        <w:t>MATLAB Compiler Runtime (MCR)</w:t>
      </w:r>
      <w:r w:rsidRPr="00D816EB" w:rsidDel="00AA5A9E">
        <w:rPr>
          <w:rFonts w:ascii="Arial" w:hAnsi="Arial"/>
          <w:sz w:val="20"/>
          <w:szCs w:val="20"/>
          <w:lang w:val="en-US"/>
        </w:rPr>
        <w:t xml:space="preserve"> </w:t>
      </w:r>
      <w:r w:rsidRPr="00D816EB">
        <w:rPr>
          <w:rFonts w:ascii="Arial" w:hAnsi="Arial"/>
          <w:sz w:val="20"/>
          <w:szCs w:val="20"/>
          <w:lang w:val="en-US"/>
        </w:rPr>
        <w:t xml:space="preserve">(version 7.17 (R2012a), freely available at the </w:t>
      </w:r>
      <w:proofErr w:type="spellStart"/>
      <w:r w:rsidRPr="00D816EB">
        <w:rPr>
          <w:rFonts w:ascii="Arial" w:hAnsi="Arial"/>
          <w:sz w:val="20"/>
          <w:szCs w:val="20"/>
          <w:lang w:val="en-US"/>
        </w:rPr>
        <w:t>Mathworks</w:t>
      </w:r>
      <w:proofErr w:type="spellEnd"/>
      <w:r w:rsidRPr="00D816EB">
        <w:rPr>
          <w:rFonts w:ascii="Arial" w:hAnsi="Arial"/>
          <w:sz w:val="20"/>
          <w:szCs w:val="20"/>
          <w:lang w:val="en-US"/>
        </w:rPr>
        <w:t xml:space="preserve"> webpage</w:t>
      </w:r>
      <w:r>
        <w:rPr>
          <w:rFonts w:ascii="Arial" w:hAnsi="Arial"/>
          <w:sz w:val="20"/>
          <w:szCs w:val="20"/>
          <w:lang w:val="en-US"/>
        </w:rPr>
        <w:t xml:space="preserve"> </w:t>
      </w:r>
      <w:hyperlink r:id="rId6" w:history="1">
        <w:r w:rsidRPr="00D92E68">
          <w:rPr>
            <w:rStyle w:val="Hyperlink"/>
            <w:rFonts w:ascii="Arial" w:hAnsi="Arial"/>
            <w:sz w:val="20"/>
            <w:szCs w:val="20"/>
            <w:lang w:val="en-US"/>
          </w:rPr>
          <w:t>http://www.mathworks.com/products/compiler/mcr/</w:t>
        </w:r>
      </w:hyperlink>
      <w:r w:rsidRPr="00D816EB">
        <w:rPr>
          <w:rFonts w:ascii="Arial" w:hAnsi="Arial"/>
          <w:sz w:val="20"/>
          <w:szCs w:val="20"/>
          <w:lang w:val="en-US"/>
        </w:rPr>
        <w:t>)</w:t>
      </w:r>
      <w:r>
        <w:rPr>
          <w:rFonts w:ascii="Arial" w:hAnsi="Arial"/>
          <w:sz w:val="20"/>
          <w:szCs w:val="20"/>
          <w:lang w:val="en-US"/>
        </w:rPr>
        <w:t>.</w:t>
      </w:r>
    </w:p>
    <w:p w:rsidR="00E34FAB" w:rsidRDefault="00E34FAB" w:rsidP="00E34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TeloTool.</w:t>
      </w:r>
    </w:p>
    <w:p w:rsidR="00E34FAB" w:rsidRDefault="00E34FAB" w:rsidP="00E34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the example membrane via ‘Load Image’.</w:t>
      </w:r>
    </w:p>
    <w:p w:rsidR="00E34FAB" w:rsidRDefault="00E34FAB" w:rsidP="00E34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Invert via ‘Invert Image’, so that the image has a dark background.</w:t>
      </w:r>
    </w:p>
    <w:p w:rsidR="00E34FAB" w:rsidRDefault="00E34FAB" w:rsidP="00E34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Press ‘Calculate Lanes’. White rectangles will appear in the main axis, which represent the automatically recognized lanes. </w:t>
      </w:r>
    </w:p>
    <w:p w:rsidR="00E34FAB" w:rsidRDefault="00E34FAB" w:rsidP="00E34F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[Optional] </w:t>
      </w:r>
      <w:r>
        <w:rPr>
          <w:lang w:val="en-US"/>
        </w:rPr>
        <w:t>The parameters for the r</w:t>
      </w:r>
      <w:bookmarkStart w:id="0" w:name="_GoBack"/>
      <w:bookmarkEnd w:id="0"/>
      <w:r>
        <w:rPr>
          <w:lang w:val="en-US"/>
        </w:rPr>
        <w:t xml:space="preserve">ecognition can be changed via the two sliders underneath the main axis called ‘Filter for Lane Number’ and ‘Filter for Lane Width’. [Optional] Manual adjustment of the lanes is possible via pressing the button ‘Adjust Lanes’. </w:t>
      </w:r>
    </w:p>
    <w:p w:rsidR="00E34FAB" w:rsidRDefault="00E34FAB" w:rsidP="00E34F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[Optional] </w:t>
      </w:r>
      <w:r>
        <w:rPr>
          <w:lang w:val="en-US"/>
        </w:rPr>
        <w:t xml:space="preserve">Lanes can be equalized via ‘Constant Lanes’. </w:t>
      </w:r>
    </w:p>
    <w:p w:rsidR="00E34FAB" w:rsidRDefault="00E34FAB" w:rsidP="00E34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‘Lane Profiles’ to fill the list box with intensity profiles of the recognized lanes.</w:t>
      </w:r>
    </w:p>
    <w:p w:rsidR="00E34FAB" w:rsidRDefault="00E34FAB" w:rsidP="00E34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Press ‘left ladder’ within the </w:t>
      </w:r>
      <w:r w:rsidR="005366ED">
        <w:rPr>
          <w:lang w:val="en-US"/>
        </w:rPr>
        <w:t xml:space="preserve">list box. The intensity profile of the left ladder will be displayed in the profile axis next to the main axis. The y-axis represents the pixel position. </w:t>
      </w:r>
    </w:p>
    <w:p w:rsidR="005366ED" w:rsidRDefault="005366ED" w:rsidP="00E34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‘Ladder Values’ to open a GUI with the values of the ladder. The standard has the sizes [10000</w:t>
      </w:r>
      <w:proofErr w:type="gramStart"/>
      <w:r>
        <w:rPr>
          <w:lang w:val="en-US"/>
        </w:rPr>
        <w:t>;8000</w:t>
      </w:r>
      <w:proofErr w:type="gramEnd"/>
      <w:r>
        <w:rPr>
          <w:lang w:val="en-US"/>
        </w:rPr>
        <w:t xml:space="preserve">;6000;5000;4000;3500;3000;2500;2000]. Here, it is also possible to load the text-file ‘standard_ladder_for_example_gel.txt’. Press ‘Apply Ladder Values’. TeloTool will always automatically remember the last ladder used. </w:t>
      </w:r>
    </w:p>
    <w:p w:rsidR="005366ED" w:rsidRDefault="005366ED" w:rsidP="00E34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Press ‘Adjust Ladder’. A new GUI will open, which displays the left and the right ladder with the automatically recognized </w:t>
      </w:r>
      <w:proofErr w:type="spellStart"/>
      <w:r>
        <w:rPr>
          <w:lang w:val="en-US"/>
        </w:rPr>
        <w:t>extrema</w:t>
      </w:r>
      <w:proofErr w:type="spellEnd"/>
      <w:r>
        <w:rPr>
          <w:lang w:val="en-US"/>
        </w:rPr>
        <w:t xml:space="preserve"> as red dots. </w:t>
      </w:r>
    </w:p>
    <w:p w:rsidR="005366ED" w:rsidRDefault="005366ED" w:rsidP="005366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left ladder has one wrongly recognized </w:t>
      </w:r>
      <w:proofErr w:type="spellStart"/>
      <w:r>
        <w:rPr>
          <w:lang w:val="en-US"/>
        </w:rPr>
        <w:t>extremum</w:t>
      </w:r>
      <w:proofErr w:type="spellEnd"/>
      <w:r>
        <w:rPr>
          <w:lang w:val="en-US"/>
        </w:rPr>
        <w:t xml:space="preserve">, press ‘Delete </w:t>
      </w:r>
      <w:proofErr w:type="spellStart"/>
      <w:r>
        <w:rPr>
          <w:lang w:val="en-US"/>
        </w:rPr>
        <w:t>Extrenum</w:t>
      </w:r>
      <w:proofErr w:type="spellEnd"/>
      <w:r>
        <w:rPr>
          <w:lang w:val="en-US"/>
        </w:rPr>
        <w:t>’ and click and drag into the axis to remove it (it may take 2-3 seconds until the program reacts). Press ‘Reset’ to remove the selection.</w:t>
      </w:r>
    </w:p>
    <w:p w:rsidR="005366ED" w:rsidRDefault="005366ED" w:rsidP="005366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right ladder has ten peaks, whereas the left has only nine </w:t>
      </w:r>
      <w:proofErr w:type="spellStart"/>
      <w:r>
        <w:rPr>
          <w:lang w:val="en-US"/>
        </w:rPr>
        <w:t>extremas</w:t>
      </w:r>
      <w:proofErr w:type="spellEnd"/>
      <w:r>
        <w:rPr>
          <w:lang w:val="en-US"/>
        </w:rPr>
        <w:t>. In order to have the same number of elements in both ladders, the peak on the far right has to be removed (the band with the lowest molecular weight)</w:t>
      </w:r>
    </w:p>
    <w:p w:rsidR="005366ED" w:rsidRDefault="005366ED" w:rsidP="005366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‘Apply and Close’</w:t>
      </w:r>
    </w:p>
    <w:p w:rsidR="005366ED" w:rsidRDefault="005366ED" w:rsidP="005366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[Optional] The ladder is automatically fitted with a polynomial fit of the 3</w:t>
      </w:r>
      <w:r w:rsidRPr="005366ED">
        <w:rPr>
          <w:vertAlign w:val="superscript"/>
          <w:lang w:val="en-US"/>
        </w:rPr>
        <w:t>rd</w:t>
      </w:r>
      <w:r>
        <w:rPr>
          <w:lang w:val="en-US"/>
        </w:rPr>
        <w:t xml:space="preserve"> order. Press ‘Ladder Fit’ to change and compare the fits. </w:t>
      </w:r>
    </w:p>
    <w:p w:rsidR="005366ED" w:rsidRDefault="005366ED" w:rsidP="005366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any other lane within the list box can be displayed. </w:t>
      </w:r>
    </w:p>
    <w:p w:rsidR="00DE6288" w:rsidRDefault="00DE6288" w:rsidP="00DE62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probe intensity corrected data and corresponding Gaussian fit is displayed within the profile axis. Press the check box ‘raw’ to display the uncorrected data. </w:t>
      </w:r>
    </w:p>
    <w:p w:rsidR="00DE6288" w:rsidRDefault="00DE6288" w:rsidP="00DE62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fit qualities of the Gaussian fit to the intensity profile can be found underneath the profile axis. </w:t>
      </w:r>
    </w:p>
    <w:p w:rsidR="00DE6288" w:rsidRDefault="00DE6288" w:rsidP="00DE62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switch between the ratio buttons ‘raw’ and ’</w:t>
      </w:r>
      <w:proofErr w:type="spellStart"/>
      <w:r>
        <w:rPr>
          <w:lang w:val="en-US"/>
        </w:rPr>
        <w:t>corr</w:t>
      </w:r>
      <w:proofErr w:type="spellEnd"/>
      <w:r>
        <w:rPr>
          <w:lang w:val="en-US"/>
        </w:rPr>
        <w:t xml:space="preserve">’ underneath the background options to change the display of the results. </w:t>
      </w:r>
    </w:p>
    <w:p w:rsidR="00DE6288" w:rsidRDefault="00DE6288" w:rsidP="00DE62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maximum intensity of the lane profile is displayed as red dot within the main axis.</w:t>
      </w:r>
    </w:p>
    <w:p w:rsidR="00DE6288" w:rsidRDefault="00DE6288" w:rsidP="00DE62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Please find the mean TRF, the standard deviation and the range for the selected lane beneath it. </w:t>
      </w:r>
    </w:p>
    <w:p w:rsidR="00DE6288" w:rsidRDefault="00DE6288" w:rsidP="00DE62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‘Get Result’ to open a new GUI which displays the results of all lanes</w:t>
      </w:r>
    </w:p>
    <w:p w:rsidR="00DE6288" w:rsidRDefault="00DE6288" w:rsidP="00DE62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table holds the statistics and the graph a visual representation.</w:t>
      </w:r>
    </w:p>
    <w:p w:rsidR="00DE6288" w:rsidRDefault="00DE6288" w:rsidP="00DE62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The user can switch between the ‘raw’ and the ‘</w:t>
      </w:r>
      <w:proofErr w:type="spellStart"/>
      <w:r>
        <w:rPr>
          <w:lang w:val="en-US"/>
        </w:rPr>
        <w:t>corr</w:t>
      </w:r>
      <w:proofErr w:type="spellEnd"/>
      <w:r>
        <w:rPr>
          <w:lang w:val="en-US"/>
        </w:rPr>
        <w:t>’ data via the ratio buttons.</w:t>
      </w:r>
    </w:p>
    <w:p w:rsidR="00DE6288" w:rsidRDefault="00DE6288" w:rsidP="00DE62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threshold for the fit quality can be chosen (the standard is 80%). All fits which have a quality less than that </w:t>
      </w:r>
      <w:proofErr w:type="spellStart"/>
      <w:r>
        <w:rPr>
          <w:lang w:val="en-US"/>
        </w:rPr>
        <w:t>treshhold</w:t>
      </w:r>
      <w:proofErr w:type="spellEnd"/>
      <w:r>
        <w:rPr>
          <w:lang w:val="en-US"/>
        </w:rPr>
        <w:t xml:space="preserve"> are displayed in red. </w:t>
      </w:r>
    </w:p>
    <w:p w:rsidR="00DE6288" w:rsidRDefault="00DE6288" w:rsidP="00DE62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[Optional] The user may exclude lanes from the graph by choosing a particular lane via the drop down menu and pressing ‘Exclude Lane’. </w:t>
      </w:r>
    </w:p>
    <w:p w:rsidR="00DE6288" w:rsidRDefault="00DE6288" w:rsidP="00DE62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of the current table can be saved as .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 xml:space="preserve"> file via ‘Save Table’. All tables can be saved by pressing ‘Save All’.</w:t>
      </w:r>
    </w:p>
    <w:p w:rsidR="00DE6288" w:rsidRPr="00E34FAB" w:rsidRDefault="00DE6288" w:rsidP="00DE62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graphical representation may be saved via ‘Export diagram’. To save it as .</w:t>
      </w:r>
      <w:proofErr w:type="spellStart"/>
      <w:r>
        <w:rPr>
          <w:lang w:val="en-US"/>
        </w:rPr>
        <w:t>pdf</w:t>
      </w:r>
      <w:proofErr w:type="spellEnd"/>
      <w:r>
        <w:rPr>
          <w:lang w:val="en-US"/>
        </w:rPr>
        <w:t xml:space="preserve"> or .</w:t>
      </w:r>
      <w:proofErr w:type="spellStart"/>
      <w:r>
        <w:rPr>
          <w:lang w:val="en-US"/>
        </w:rPr>
        <w:t>eps</w:t>
      </w:r>
      <w:proofErr w:type="spellEnd"/>
      <w:r>
        <w:rPr>
          <w:lang w:val="en-US"/>
        </w:rPr>
        <w:t xml:space="preserve"> indicated open-source programs has to be installed.</w:t>
      </w:r>
    </w:p>
    <w:sectPr w:rsidR="00DE6288" w:rsidRPr="00E34F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11DBF"/>
    <w:multiLevelType w:val="hybridMultilevel"/>
    <w:tmpl w:val="F670CDF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FAB"/>
    <w:rsid w:val="005366ED"/>
    <w:rsid w:val="00AB0C7A"/>
    <w:rsid w:val="00D46284"/>
    <w:rsid w:val="00DE6288"/>
    <w:rsid w:val="00E3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F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F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works.com/products/compiler/mc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Jette</dc:creator>
  <cp:lastModifiedBy>Jette</cp:lastModifiedBy>
  <cp:revision>1</cp:revision>
  <dcterms:created xsi:type="dcterms:W3CDTF">2013-10-07T12:19:00Z</dcterms:created>
  <dcterms:modified xsi:type="dcterms:W3CDTF">2013-10-07T12:54:00Z</dcterms:modified>
</cp:coreProperties>
</file>