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visionAV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A.</w:t>
      </w:r>
      <w:r>
        <w:t xml:space="preserve"> </w:t>
      </w:r>
      <w:r>
        <w:t xml:space="preserve">Grafft</w:t>
      </w:r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Problem Summary</w:t>
      </w:r>
    </w:p>
    <w:p>
      <w:pPr>
        <w:pStyle w:val="Compact"/>
        <w:numPr>
          <w:numId w:val="1002"/>
          <w:ilvl w:val="1"/>
        </w:numPr>
      </w:pPr>
      <w:r>
        <w:t xml:space="preserve">Engineering and Technical Challenges</w:t>
      </w:r>
    </w:p>
    <w:p>
      <w:pPr>
        <w:pStyle w:val="Compact"/>
        <w:numPr>
          <w:numId w:val="1002"/>
          <w:ilvl w:val="1"/>
        </w:numPr>
      </w:pPr>
      <w:r>
        <w:t xml:space="preserve">Closed Development Community, Shared Problem Space</w:t>
      </w:r>
    </w:p>
    <w:p>
      <w:pPr>
        <w:pStyle w:val="Compact"/>
        <w:numPr>
          <w:numId w:val="1003"/>
          <w:ilvl w:val="2"/>
        </w:numPr>
      </w:pPr>
      <w:r>
        <w:t xml:space="preserve">FFmpeg</w:t>
      </w:r>
    </w:p>
    <w:p>
      <w:pPr>
        <w:pStyle w:val="Compact"/>
        <w:numPr>
          <w:numId w:val="1003"/>
          <w:ilvl w:val="2"/>
        </w:numPr>
      </w:pPr>
      <w:r>
        <w:t xml:space="preserve">Escalation of Bandwidth Demand</w:t>
      </w:r>
    </w:p>
    <w:p>
      <w:pPr>
        <w:pStyle w:val="Compact"/>
        <w:numPr>
          <w:numId w:val="1003"/>
          <w:ilvl w:val="2"/>
        </w:numPr>
      </w:pPr>
      <w:r>
        <w:t xml:space="preserve">Adaptive Bit Rate (ABR)</w:t>
      </w:r>
    </w:p>
    <w:p>
      <w:pPr>
        <w:pStyle w:val="Compact"/>
        <w:numPr>
          <w:numId w:val="1003"/>
          <w:ilvl w:val="2"/>
        </w:numPr>
      </w:pPr>
      <w:r>
        <w:t xml:space="preserve">Highly Variable Consumer Device Market</w:t>
      </w:r>
    </w:p>
    <w:p>
      <w:pPr>
        <w:pStyle w:val="Compact"/>
        <w:numPr>
          <w:numId w:val="1002"/>
          <w:ilvl w:val="1"/>
        </w:numPr>
      </w:pPr>
      <w:r>
        <w:t xml:space="preserve">Legal Complexities</w:t>
      </w:r>
    </w:p>
    <w:p>
      <w:pPr>
        <w:pStyle w:val="Compact"/>
        <w:numPr>
          <w:numId w:val="1004"/>
          <w:ilvl w:val="2"/>
        </w:numPr>
      </w:pPr>
      <w:r>
        <w:t xml:space="preserve">MPEG-LA</w:t>
      </w:r>
    </w:p>
    <w:p>
      <w:pPr>
        <w:pStyle w:val="Compact"/>
        <w:numPr>
          <w:numId w:val="1004"/>
          <w:ilvl w:val="2"/>
        </w:numPr>
      </w:pPr>
      <w:r>
        <w:t xml:space="preserve">Wide Variance of Patent Laws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{summary}</w:t>
      </w:r>
    </w:p>
    <w:p>
      <w:pPr>
        <w:pStyle w:val="Compact"/>
        <w:numPr>
          <w:numId w:val="1001"/>
          <w:ilvl w:val="0"/>
        </w:numPr>
      </w:pPr>
      <w:r>
        <w:t xml:space="preserve">Technical Considerations</w:t>
      </w:r>
    </w:p>
    <w:p>
      <w:pPr>
        <w:pStyle w:val="Compact"/>
        <w:numPr>
          <w:numId w:val="1005"/>
          <w:ilvl w:val="1"/>
        </w:numPr>
      </w:pPr>
      <w:r>
        <w:t xml:space="preserve">Rapid, Independent Evolution of Foundational Technologies</w:t>
      </w:r>
    </w:p>
    <w:p>
      <w:pPr>
        <w:pStyle w:val="Compact"/>
        <w:numPr>
          <w:numId w:val="1006"/>
          <w:ilvl w:val="2"/>
        </w:numPr>
      </w:pPr>
      <w:r>
        <w:t xml:space="preserve">Digital Audio and Video</w:t>
      </w:r>
    </w:p>
    <w:p>
      <w:pPr>
        <w:pStyle w:val="Compact"/>
        <w:numPr>
          <w:numId w:val="1007"/>
          <w:ilvl w:val="3"/>
        </w:numPr>
      </w:pPr>
      <w:r>
        <w:t xml:space="preserve">Purpose-built Codecs</w:t>
      </w:r>
    </w:p>
    <w:p>
      <w:pPr>
        <w:pStyle w:val="Compact"/>
        <w:numPr>
          <w:numId w:val="1007"/>
          <w:ilvl w:val="3"/>
        </w:numPr>
      </w:pPr>
      <w:r>
        <w:t xml:space="preserve">Patent and Royalty Issues</w:t>
      </w:r>
    </w:p>
    <w:p>
      <w:pPr>
        <w:pStyle w:val="Compact"/>
        <w:numPr>
          <w:numId w:val="1007"/>
          <w:ilvl w:val="3"/>
        </w:numPr>
      </w:pPr>
      <w:r>
        <w:t xml:space="preserve">Support Among Consumer Devices</w:t>
      </w:r>
    </w:p>
    <w:p>
      <w:pPr>
        <w:pStyle w:val="Compact"/>
        <w:numPr>
          <w:numId w:val="1006"/>
          <w:ilvl w:val="2"/>
        </w:numPr>
      </w:pPr>
      <w:r>
        <w:t xml:space="preserve">Encryption</w:t>
      </w:r>
    </w:p>
    <w:p>
      <w:pPr>
        <w:pStyle w:val="Compact"/>
        <w:numPr>
          <w:numId w:val="1006"/>
          <w:ilvl w:val="2"/>
        </w:numPr>
      </w:pPr>
      <w:r>
        <w:t xml:space="preserve">Web Browsers</w:t>
      </w:r>
    </w:p>
    <w:p>
      <w:pPr>
        <w:pStyle w:val="Compact"/>
        <w:numPr>
          <w:numId w:val="1006"/>
          <w:ilvl w:val="2"/>
        </w:numPr>
      </w:pPr>
      <w:r>
        <w:t xml:space="preserve">File storage</w:t>
      </w:r>
    </w:p>
    <w:p>
      <w:pPr>
        <w:pStyle w:val="Compact"/>
        <w:numPr>
          <w:numId w:val="1005"/>
          <w:ilvl w:val="1"/>
        </w:numPr>
      </w:pPr>
      <w:r>
        <w:t xml:space="preserve">Proliferation of Audiovisual</w:t>
      </w:r>
      <w:r>
        <w:t xml:space="preserve"> </w:t>
      </w:r>
      <w:r>
        <w:t xml:space="preserve">“</w:t>
      </w:r>
      <w:r>
        <w:t xml:space="preserve">Innovations</w:t>
      </w:r>
      <w:r>
        <w:t xml:space="preserve">”</w:t>
      </w:r>
    </w:p>
    <w:p>
      <w:pPr>
        <w:pStyle w:val="Compact"/>
        <w:numPr>
          <w:numId w:val="1008"/>
          <w:ilvl w:val="2"/>
        </w:numPr>
      </w:pPr>
      <w:r>
        <w:t xml:space="preserve">Formats</w:t>
      </w:r>
    </w:p>
    <w:p>
      <w:pPr>
        <w:pStyle w:val="Compact"/>
        <w:numPr>
          <w:numId w:val="1009"/>
          <w:ilvl w:val="3"/>
        </w:numPr>
      </w:pPr>
      <w:r>
        <w:t xml:space="preserve">360° video</w:t>
      </w:r>
    </w:p>
    <w:p>
      <w:pPr>
        <w:pStyle w:val="Compact"/>
        <w:numPr>
          <w:numId w:val="1009"/>
          <w:ilvl w:val="3"/>
        </w:numPr>
      </w:pPr>
      <w:r>
        <w:t xml:space="preserve">High/Ultrahigh/… Definition</w:t>
      </w:r>
    </w:p>
    <w:p>
      <w:pPr>
        <w:pStyle w:val="Compact"/>
        <w:numPr>
          <w:numId w:val="1009"/>
          <w:ilvl w:val="3"/>
        </w:numPr>
      </w:pPr>
      <w:r>
        <w:t xml:space="preserve">Virtual Reality</w:t>
      </w:r>
    </w:p>
    <w:p>
      <w:pPr>
        <w:pStyle w:val="Compact"/>
        <w:numPr>
          <w:numId w:val="1008"/>
          <w:ilvl w:val="2"/>
        </w:numPr>
      </w:pPr>
      <w:r>
        <w:t xml:space="preserve">Processing</w:t>
      </w:r>
    </w:p>
    <w:p>
      <w:pPr>
        <w:pStyle w:val="Compact"/>
        <w:numPr>
          <w:numId w:val="1010"/>
          <w:ilvl w:val="3"/>
        </w:numPr>
      </w:pPr>
      <w:r>
        <w:t xml:space="preserve">Augmented Reality</w:t>
      </w:r>
    </w:p>
    <w:p>
      <w:pPr>
        <w:pStyle w:val="Compact"/>
        <w:numPr>
          <w:numId w:val="1010"/>
          <w:ilvl w:val="3"/>
        </w:numPr>
      </w:pPr>
      <w:r>
        <w:t xml:space="preserve">Deidentification</w:t>
      </w:r>
    </w:p>
    <w:p>
      <w:pPr>
        <w:pStyle w:val="Compact"/>
        <w:numPr>
          <w:numId w:val="1010"/>
          <w:ilvl w:val="3"/>
        </w:numPr>
      </w:pPr>
      <w:r>
        <w:t xml:space="preserve">Motion (video)</w:t>
      </w:r>
    </w:p>
    <w:p>
      <w:pPr>
        <w:pStyle w:val="Compact"/>
        <w:numPr>
          <w:numId w:val="1010"/>
          <w:ilvl w:val="3"/>
        </w:numPr>
      </w:pPr>
      <w:r>
        <w:t xml:space="preserve">Natural Language (audio)</w:t>
      </w:r>
    </w:p>
    <w:p>
      <w:pPr>
        <w:pStyle w:val="Compact"/>
        <w:numPr>
          <w:numId w:val="1008"/>
          <w:ilvl w:val="2"/>
        </w:numPr>
      </w:pPr>
      <w:r>
        <w:t xml:space="preserve">Legal</w:t>
      </w:r>
    </w:p>
    <w:p>
      <w:pPr>
        <w:pStyle w:val="Compact"/>
        <w:numPr>
          <w:numId w:val="1011"/>
          <w:ilvl w:val="3"/>
        </w:numPr>
      </w:pPr>
      <w:r>
        <w:t xml:space="preserve">Distributed Storage</w:t>
      </w:r>
    </w:p>
    <w:p>
      <w:pPr>
        <w:pStyle w:val="Compact"/>
        <w:numPr>
          <w:numId w:val="1011"/>
          <w:ilvl w:val="3"/>
        </w:numPr>
      </w:pPr>
      <w:r>
        <w:t xml:space="preserve">Digital Rights Management (DRM)</w:t>
      </w:r>
    </w:p>
    <w:p>
      <w:pPr>
        <w:pStyle w:val="Compact"/>
        <w:numPr>
          <w:numId w:val="1011"/>
          <w:ilvl w:val="3"/>
        </w:numPr>
      </w:pPr>
      <w:r>
        <w:t xml:space="preserve">Signatures</w:t>
      </w:r>
    </w:p>
    <w:p>
      <w:pPr>
        <w:pStyle w:val="Compact"/>
        <w:numPr>
          <w:numId w:val="1005"/>
          <w:ilvl w:val="1"/>
        </w:numPr>
      </w:pPr>
      <w:r>
        <w:t xml:space="preserve">Security</w:t>
      </w:r>
    </w:p>
    <w:p>
      <w:pPr>
        <w:pStyle w:val="Compact"/>
        <w:numPr>
          <w:numId w:val="1012"/>
          <w:ilvl w:val="2"/>
        </w:numPr>
      </w:pPr>
      <w:r>
        <w:t xml:space="preserve">Complexities Introduced by Physical Distribution</w:t>
      </w:r>
    </w:p>
    <w:p>
      <w:pPr>
        <w:pStyle w:val="Compact"/>
        <w:numPr>
          <w:numId w:val="1012"/>
          <w:ilvl w:val="2"/>
        </w:numPr>
      </w:pPr>
      <w:r>
        <w:t xml:space="preserve">Access to Nodes</w:t>
      </w:r>
    </w:p>
    <w:p>
      <w:pPr>
        <w:pStyle w:val="Compact"/>
        <w:numPr>
          <w:numId w:val="1012"/>
          <w:ilvl w:val="2"/>
        </w:numPr>
      </w:pPr>
      <w:r>
        <w:t xml:space="preserve">Encryption and Encryptability</w:t>
      </w:r>
    </w:p>
    <w:p>
      <w:pPr>
        <w:pStyle w:val="Compact"/>
        <w:numPr>
          <w:numId w:val="1012"/>
          <w:ilvl w:val="2"/>
        </w:numPr>
      </w:pPr>
      <w:r>
        <w:t xml:space="preserve">User Authentication</w:t>
      </w:r>
    </w:p>
    <w:p>
      <w:pPr>
        <w:pStyle w:val="Compact"/>
        <w:numPr>
          <w:numId w:val="1001"/>
          <w:ilvl w:val="0"/>
        </w:numPr>
      </w:pPr>
      <w:r>
        <w:t xml:space="preserve">Meeting Needs and Addressing Challenges</w:t>
      </w:r>
    </w:p>
    <w:p>
      <w:pPr>
        <w:pStyle w:val="Compact"/>
        <w:numPr>
          <w:numId w:val="1013"/>
          <w:ilvl w:val="1"/>
        </w:numPr>
      </w:pPr>
      <w:r>
        <w:t xml:space="preserve">Technology-agnostic Framework</w:t>
      </w:r>
    </w:p>
    <w:p>
      <w:pPr>
        <w:pStyle w:val="Compact"/>
        <w:numPr>
          <w:numId w:val="1014"/>
          <w:ilvl w:val="2"/>
        </w:numPr>
      </w:pPr>
      <w:r>
        <w:t xml:space="preserve">(Service) Broker</w:t>
      </w:r>
    </w:p>
    <w:p>
      <w:pPr>
        <w:pStyle w:val="Compact"/>
        <w:numPr>
          <w:numId w:val="1014"/>
          <w:ilvl w:val="2"/>
        </w:numPr>
      </w:pPr>
      <w:r>
        <w:t xml:space="preserve">Node-based Architecture</w:t>
      </w:r>
    </w:p>
    <w:p>
      <w:pPr>
        <w:pStyle w:val="Compact"/>
        <w:numPr>
          <w:numId w:val="1014"/>
          <w:ilvl w:val="2"/>
        </w:numPr>
      </w:pPr>
      <w:r>
        <w:t xml:space="preserve">Data as a First-Order Citizen</w:t>
      </w:r>
    </w:p>
    <w:p>
      <w:pPr>
        <w:pStyle w:val="Compact"/>
        <w:numPr>
          <w:numId w:val="1014"/>
          <w:ilvl w:val="2"/>
        </w:numPr>
      </w:pPr>
      <w:r>
        <w:t xml:space="preserve">Avoids (Explicit and Implicit) Vendor Lock-In</w:t>
      </w:r>
    </w:p>
    <w:p>
      <w:pPr>
        <w:pStyle w:val="Compact"/>
        <w:numPr>
          <w:numId w:val="1013"/>
          <w:ilvl w:val="1"/>
        </w:numPr>
      </w:pPr>
      <w:r>
        <w:t xml:space="preserve">Modular</w:t>
      </w:r>
    </w:p>
    <w:p>
      <w:pPr>
        <w:pStyle w:val="Compact"/>
        <w:numPr>
          <w:numId w:val="1015"/>
          <w:ilvl w:val="2"/>
        </w:numPr>
      </w:pPr>
      <w:r>
        <w:t xml:space="preserve">Actor Model</w:t>
      </w:r>
    </w:p>
    <w:p>
      <w:pPr>
        <w:pStyle w:val="Compact"/>
        <w:numPr>
          <w:numId w:val="1015"/>
          <w:ilvl w:val="2"/>
        </w:numPr>
      </w:pPr>
      <w:r>
        <w:t xml:space="preserve">Rigorous Separation of Concerns</w:t>
      </w:r>
    </w:p>
    <w:p>
      <w:pPr>
        <w:pStyle w:val="Compact"/>
        <w:numPr>
          <w:numId w:val="1016"/>
          <w:ilvl w:val="3"/>
        </w:numPr>
      </w:pPr>
      <w:r>
        <w:t xml:space="preserve">Encapsulated Services</w:t>
      </w:r>
    </w:p>
    <w:p>
      <w:pPr>
        <w:pStyle w:val="Compact"/>
        <w:numPr>
          <w:numId w:val="1013"/>
          <w:ilvl w:val="1"/>
        </w:numPr>
      </w:pPr>
      <w:r>
        <w:t xml:space="preserve">Open Standards</w:t>
      </w:r>
    </w:p>
    <w:p>
      <w:pPr>
        <w:pStyle w:val="Compact"/>
        <w:numPr>
          <w:numId w:val="1017"/>
          <w:ilvl w:val="2"/>
        </w:numPr>
      </w:pPr>
      <w:r>
        <w:t xml:space="preserve">JSON</w:t>
      </w:r>
    </w:p>
    <w:p>
      <w:pPr>
        <w:pStyle w:val="Compact"/>
        <w:numPr>
          <w:numId w:val="1017"/>
          <w:ilvl w:val="2"/>
        </w:numPr>
      </w:pPr>
      <w:r>
        <w:rPr>
          <w:i/>
        </w:rPr>
        <w:t xml:space="preserve">{actor model library}</w:t>
      </w:r>
    </w:p>
    <w:p>
      <w:pPr>
        <w:pStyle w:val="Compact"/>
        <w:numPr>
          <w:numId w:val="1017"/>
          <w:ilvl w:val="2"/>
        </w:numPr>
      </w:pPr>
      <w:r>
        <w:t xml:space="preserve">VP9/AV1/…?</w:t>
      </w:r>
    </w:p>
    <w:p>
      <w:pPr>
        <w:pStyle w:val="Compact"/>
        <w:numPr>
          <w:numId w:val="1017"/>
          <w:ilvl w:val="2"/>
        </w:numPr>
      </w:pPr>
      <w:r>
        <w:t xml:space="preserve">Opus</w:t>
      </w:r>
    </w:p>
    <w:p>
      <w:pPr>
        <w:pStyle w:val="Compact"/>
        <w:numPr>
          <w:numId w:val="1017"/>
          <w:ilvl w:val="2"/>
        </w:numPr>
      </w:pPr>
      <w:r>
        <w:t xml:space="preserve">WebM?</w:t>
      </w:r>
    </w:p>
    <w:p>
      <w:pPr>
        <w:pStyle w:val="Compact"/>
        <w:numPr>
          <w:numId w:val="1013"/>
          <w:ilvl w:val="1"/>
        </w:numPr>
      </w:pPr>
      <w:r>
        <w:t xml:space="preserve">Open Source</w:t>
      </w:r>
    </w:p>
    <w:p>
      <w:pPr>
        <w:pStyle w:val="Compact"/>
        <w:numPr>
          <w:numId w:val="1018"/>
          <w:ilvl w:val="2"/>
        </w:numPr>
      </w:pPr>
      <w:r>
        <w:rPr>
          <w:i/>
        </w:rPr>
        <w:t xml:space="preserve">{</w:t>
      </w:r>
      <w:r>
        <w:rPr>
          <w:i/>
        </w:rPr>
        <w:t xml:space="preserve">“</w:t>
      </w:r>
      <w:r>
        <w:rPr>
          <w:i/>
        </w:rPr>
        <w:t xml:space="preserve">Aligned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with Major Tools (Spark, Kafka, …)}</w:t>
      </w:r>
    </w:p>
    <w:p>
      <w:pPr>
        <w:pStyle w:val="Compact"/>
        <w:numPr>
          <w:numId w:val="1018"/>
          <w:ilvl w:val="2"/>
        </w:numPr>
      </w:pPr>
      <w:r>
        <w:t xml:space="preserve">Community-Driven</w:t>
      </w:r>
    </w:p>
    <w:p>
      <w:pPr>
        <w:pStyle w:val="Compact"/>
        <w:numPr>
          <w:numId w:val="1018"/>
          <w:ilvl w:val="2"/>
        </w:numPr>
      </w:pPr>
      <w:r>
        <w:t xml:space="preserve">Fully Reviewable (security)</w:t>
      </w:r>
    </w:p>
    <w:p>
      <w:pPr>
        <w:pStyle w:val="Compact"/>
        <w:numPr>
          <w:numId w:val="1018"/>
          <w:ilvl w:val="2"/>
        </w:numPr>
      </w:pPr>
      <w:r>
        <w:t xml:space="preserve">Modafiable</w:t>
      </w:r>
    </w:p>
    <w:p>
      <w:pPr>
        <w:pStyle w:val="Compact"/>
        <w:numPr>
          <w:numId w:val="1013"/>
          <w:ilvl w:val="1"/>
        </w:numPr>
      </w:pPr>
      <w:r>
        <w:t xml:space="preserve">Robust Testing Framework</w:t>
      </w:r>
    </w:p>
    <w:p>
      <w:pPr>
        <w:pStyle w:val="Compact"/>
        <w:numPr>
          <w:numId w:val="1019"/>
          <w:ilvl w:val="2"/>
        </w:numPr>
      </w:pPr>
      <w:r>
        <w:t xml:space="preserve">Network Loading</w:t>
      </w:r>
    </w:p>
    <w:p>
      <w:pPr>
        <w:pStyle w:val="Compact"/>
        <w:numPr>
          <w:numId w:val="1019"/>
          <w:ilvl w:val="2"/>
        </w:numPr>
      </w:pPr>
      <w:r>
        <w:t xml:space="preserve">Reference Datasets</w:t>
      </w:r>
    </w:p>
    <w:p>
      <w:pPr>
        <w:pStyle w:val="Compact"/>
        <w:numPr>
          <w:numId w:val="1019"/>
          <w:ilvl w:val="2"/>
        </w:numPr>
      </w:pPr>
      <w:r>
        <w:t xml:space="preserve">Stream Performance</w:t>
      </w:r>
    </w:p>
    <w:p>
      <w:pPr>
        <w:pStyle w:val="Compact"/>
        <w:numPr>
          <w:numId w:val="1013"/>
          <w:ilvl w:val="1"/>
        </w:numPr>
      </w:pPr>
      <w:r>
        <w:t xml:space="preserve">Patent and Royalty Free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{algined with open source tools}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{avoids vendor/platform (clear up) lock-in}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{inclusiveness (</w:t>
      </w:r>
      <w:r>
        <w:rPr>
          <w:i/>
        </w:rPr>
        <w:t xml:space="preserve">“</w:t>
      </w:r>
      <w:r>
        <w:rPr>
          <w:i/>
        </w:rPr>
        <w:t xml:space="preserve">community aware</w:t>
      </w:r>
      <w:r>
        <w:rPr>
          <w:i/>
        </w:rPr>
        <w:t xml:space="preserve">”</w:t>
      </w:r>
      <w:r>
        <w:rPr>
          <w:i/>
        </w:rPr>
        <w:t xml:space="preserve">)}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{increases visibility of difficult engineering issues}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{fundamentally different motivations}</w:t>
      </w:r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Utilization of simulation-based training for healthcare providers has expanded rapidly since the early 2000’s, when the first</w:t>
      </w:r>
      <w:r>
        <w:t xml:space="preserve"> </w:t>
      </w:r>
      <w:r>
        <w:t xml:space="preserve">“</w:t>
      </w:r>
      <w:r>
        <w:t xml:space="preserve">high fidelity</w:t>
      </w:r>
      <w:r>
        <w:t xml:space="preserve">”</w:t>
      </w:r>
      <w:r>
        <w:t xml:space="preserve"> </w:t>
      </w:r>
      <w:r>
        <w:t xml:space="preserve">patient simulator mannequins were made available by manufacturers at price points accessible to smaller programs. Over that time, simulation technology has diviersified considerably, lowering per-item cost while deepening the technology</w:t>
      </w:r>
      <w:r>
        <w:t xml:space="preserve"> </w:t>
      </w:r>
      <w:r>
        <w:t xml:space="preserve">“</w:t>
      </w:r>
      <w:r>
        <w:t xml:space="preserve">stack</w:t>
      </w:r>
      <w:r>
        <w:t xml:space="preserve">”</w:t>
      </w:r>
      <w:r>
        <w:t xml:space="preserve"> </w:t>
      </w:r>
      <w:r>
        <w:t xml:space="preserve">required for an appropriately-equipped laboratory.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Though buy-in costs have remained high, the health education sector views simulation technology as valuable,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and there is growing evidence improved education outcomes are beginning to show across an increasing spectrum of psychomotor skills.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Audiovisual (AV) systems are an essential part of the technology stack for modern simulation laboratories. They are complex, expensive, specialized services that are difficult to maintain without access to a network or AV specialist, and simulation laboratories in need of AV services have few options: select one of several commercially available products, contract for a customized system, or develop their own. These items encourage vendor dependence, especially in resource limited laboratories, and increase the dfficulty of accurate decision-making by consumers. Given that AV systems are an essential debriefing tool, and that debriefing is the most important part of simulation,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difficulty matching tool to task is likely to degrade Return on Investment (ROI) for a simulation laboratory and its constituents.</w:t>
      </w:r>
    </w:p>
    <w:p>
      <w:pPr>
        <w:pStyle w:val="BodyText"/>
      </w:pPr>
      <w:r>
        <w:rPr>
          <w:i/>
        </w:rPr>
        <w:t xml:space="preserve">visionAV</w:t>
      </w:r>
      <w:r>
        <w:t xml:space="preserve">, an open-source data and audiovisual (AV) platform for medical simulation,</w:t>
      </w:r>
    </w:p>
    <w:p>
      <w:pPr>
        <w:pStyle w:val="Heading2"/>
      </w:pPr>
      <w:bookmarkStart w:id="29" w:name="problem-summary"/>
      <w:r>
        <w:t xml:space="preserve">Problem Summary</w:t>
      </w:r>
      <w:bookmarkEnd w:id="29"/>
    </w:p>
    <w:p>
      <w:pPr>
        <w:pStyle w:val="Heading2"/>
      </w:pPr>
      <w:bookmarkStart w:id="30" w:name="references"/>
      <w:r>
        <w:t xml:space="preserve">References</w:t>
      </w:r>
      <w:bookmarkEnd w:id="30"/>
    </w:p>
    <w:bookmarkStart w:id="34" w:name="refs"/>
    <w:bookmarkStart w:id="31" w:name="ref-Kennedy:2014:article"/>
    <w:p>
      <w:pPr>
        <w:pStyle w:val="Bibliography"/>
      </w:pPr>
      <w:r>
        <w:t xml:space="preserve">Kennedy, Cassie C., Eric K. Cannon, David O. Warner, and David A. Cook. “Advanced Airway Management Simulation Training in Medical Education: A Systematic Review and Meta-Analysis.”</w:t>
      </w:r>
      <w:r>
        <w:t xml:space="preserve"> </w:t>
      </w:r>
      <w:r>
        <w:rPr>
          <w:i/>
        </w:rPr>
        <w:t xml:space="preserve">Crit Care Med</w:t>
      </w:r>
      <w:r>
        <w:t xml:space="preserve"> </w:t>
      </w:r>
      <w:r>
        <w:t xml:space="preserve">42, no. 1 (2014): 169–78.</w:t>
      </w:r>
    </w:p>
    <w:bookmarkEnd w:id="31"/>
    <w:bookmarkStart w:id="32" w:name="ref-McKinney:2013:article"/>
    <w:p>
      <w:pPr>
        <w:pStyle w:val="Bibliography"/>
      </w:pPr>
      <w:r>
        <w:t xml:space="preserve">McKinney, James, David A. Cook, David Wood, and Rose Hatala. “Simulation-Based Training for Cardiac Auscultation Skills: Systematic Review and Meta-Analysis.”</w:t>
      </w:r>
      <w:r>
        <w:t xml:space="preserve"> </w:t>
      </w:r>
      <w:r>
        <w:rPr>
          <w:i/>
        </w:rPr>
        <w:t xml:space="preserve">Journal of General Internal Medicine</w:t>
      </w:r>
      <w:r>
        <w:t xml:space="preserve"> </w:t>
      </w:r>
      <w:r>
        <w:t xml:space="preserve">28, no. 2 (2013): 283–91.</w:t>
      </w:r>
    </w:p>
    <w:bookmarkEnd w:id="32"/>
    <w:bookmarkStart w:id="33" w:name="ref-McGaghie:2011:article"/>
    <w:p>
      <w:pPr>
        <w:pStyle w:val="Bibliography"/>
      </w:pPr>
      <w:r>
        <w:t xml:space="preserve">William C. McGaghie, PhD, MD S. Barry Issenberg, Elaine R. Cohen, MD Jeffrey H. Barsuk, and MD Diane B. Wayne. “Does Simulation-Based Medical Education with Deliberate Practice Yield Better Results Than Traditional Clinical Education? A Meta-Analytic Comparative Review of the Evidence.”</w:t>
      </w:r>
      <w:r>
        <w:t xml:space="preserve"> </w:t>
      </w:r>
      <w:r>
        <w:rPr>
          <w:i/>
        </w:rPr>
        <w:t xml:space="preserve">Acad Med</w:t>
      </w:r>
      <w:r>
        <w:t xml:space="preserve"> </w:t>
      </w:r>
      <w:r>
        <w:t xml:space="preserve">86, no. 6 (2011): 706–11.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Consider that in 2003, access to a mannequin such as SimMan (now SimMan Classic)</w:t>
      </w:r>
      <w:r>
        <w:t xml:space="preserve"> </w:t>
      </w:r>
      <w:r>
        <w:rPr>
          <w:i/>
        </w:rPr>
        <w:t xml:space="preserve">was the definition of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high fidelity</w:t>
      </w:r>
      <w:r>
        <w:t xml:space="preserve">”</w:t>
      </w:r>
      <w:r>
        <w:t xml:space="preserve"> </w:t>
      </w:r>
      <w:r>
        <w:t xml:space="preserve">simulation program. Ten years later, a properly equipped program would have</w:t>
      </w:r>
      <w:r>
        <w:t xml:space="preserve"> </w:t>
      </w:r>
      <w:r>
        <w:rPr>
          <w:i/>
        </w:rPr>
        <w:t xml:space="preserve">one or more</w:t>
      </w:r>
      <w:r>
        <w:t xml:space="preserve"> </w:t>
      </w:r>
      <w:r>
        <w:t xml:space="preserve">“</w:t>
      </w:r>
      <w:r>
        <w:t xml:space="preserve">high fidelity</w:t>
      </w:r>
      <w:r>
        <w:t xml:space="preserve">”</w:t>
      </w:r>
      <w:r>
        <w:t xml:space="preserve"> </w:t>
      </w:r>
      <w:r>
        <w:t xml:space="preserve">mannequins, several</w:t>
      </w:r>
      <w:r>
        <w:t xml:space="preserve"> </w:t>
      </w:r>
      <w:r>
        <w:t xml:space="preserve">“</w:t>
      </w:r>
      <w:r>
        <w:t xml:space="preserve">mid</w:t>
      </w:r>
      <w:r>
        <w:t xml:space="preserve">”</w:t>
      </w:r>
      <w:r>
        <w:t xml:space="preserve">- and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- fidelity mannequins, dedicated simulation space, and an AV system able to capture at least one room.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THIS NEEDS A CITATION!!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Cassie C. Kennedy et al., “Advanced Airway Management Simulation Training in Medical Education: A Systematic Review and Meta-Analysis,”</w:t>
      </w:r>
      <w:r>
        <w:t xml:space="preserve"> </w:t>
      </w:r>
      <w:r>
        <w:rPr>
          <w:i/>
        </w:rPr>
        <w:t xml:space="preserve">Crit Care Med</w:t>
      </w:r>
      <w:r>
        <w:t xml:space="preserve"> </w:t>
      </w:r>
      <w:r>
        <w:t xml:space="preserve">42, no. 1 (2014): 169–78.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PhD William C. McGaghie et al., “Does Simulation-Based Medical Education with Deliberate Practice Yield Better Results Than Traditional Clinical Education? A Meta-Analytic Comparative Review of the Evidence,”</w:t>
      </w:r>
      <w:r>
        <w:t xml:space="preserve"> </w:t>
      </w:r>
      <w:r>
        <w:rPr>
          <w:i/>
        </w:rPr>
        <w:t xml:space="preserve">Acad Med</w:t>
      </w:r>
      <w:r>
        <w:t xml:space="preserve"> </w:t>
      </w:r>
      <w:r>
        <w:t xml:space="preserve">86, no. 6 (2011): 706–11.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James McKinney et al., “Simulation-Based Training for Cardiac Auscultation Skills: Systematic Review and Meta-Analysis,”</w:t>
      </w:r>
      <w:r>
        <w:t xml:space="preserve"> </w:t>
      </w:r>
      <w:r>
        <w:rPr>
          <w:i/>
        </w:rPr>
        <w:t xml:space="preserve">Journal of General Internal Medicine</w:t>
      </w:r>
      <w:r>
        <w:t xml:space="preserve"> </w:t>
      </w:r>
      <w:r>
        <w:t xml:space="preserve">28, no. 2 (2013): 283–91.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THIS NEEDS A CITATION!!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629d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187ba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67ac2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visionAV</dc:title>
  <dc:creator>Jason A. Grafft</dc:creator>
  <cp:keywords/>
  <dcterms:created xsi:type="dcterms:W3CDTF">2017-10-31T19:50:36Z</dcterms:created>
  <dcterms:modified xsi:type="dcterms:W3CDTF">2017-10-31T19:50:36Z</dcterms:modified>
</cp:coreProperties>
</file>