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w:t>
      </w:r>
      <w:r>
        <w:t xml:space="preserve"> </w:t>
      </w:r>
      <w:r>
        <w:t xml:space="preserve">White</w:t>
      </w:r>
      <w:r>
        <w:t xml:space="preserve"> </w:t>
      </w:r>
      <w:r>
        <w:t xml:space="preserve">Paper</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2"/>
          <w:ilvl w:val="1"/>
        </w:numPr>
      </w:pPr>
      <w:r>
        <w:t xml:space="preserve">Nomenclature</w:t>
      </w:r>
    </w:p>
    <w:p>
      <w:pPr>
        <w:pStyle w:val="Compact"/>
        <w:numPr>
          <w:numId w:val="1001"/>
          <w:ilvl w:val="0"/>
        </w:numPr>
      </w:pPr>
      <w:r>
        <w:t xml:space="preserve">Summary of Current Issues</w:t>
      </w:r>
    </w:p>
    <w:p>
      <w:pPr>
        <w:pStyle w:val="Compact"/>
        <w:numPr>
          <w:numId w:val="1003"/>
          <w:ilvl w:val="1"/>
        </w:numPr>
      </w:pPr>
      <w:r>
        <w:t xml:space="preserve">Engineering and Technical</w:t>
      </w:r>
    </w:p>
    <w:p>
      <w:pPr>
        <w:pStyle w:val="Compact"/>
        <w:numPr>
          <w:numId w:val="1003"/>
          <w:ilvl w:val="1"/>
        </w:numPr>
      </w:pPr>
      <w:r>
        <w:t xml:space="preserve">Patents and Ownership</w:t>
      </w:r>
    </w:p>
    <w:p>
      <w:pPr>
        <w:pStyle w:val="Compact"/>
        <w:numPr>
          <w:numId w:val="1003"/>
          <w:ilvl w:val="1"/>
        </w:numPr>
      </w:pPr>
      <w:r>
        <w:t xml:space="preserve">Market Pressures</w:t>
      </w:r>
    </w:p>
    <w:p>
      <w:pPr>
        <w:pStyle w:val="Compact"/>
        <w:numPr>
          <w:numId w:val="1003"/>
          <w:ilvl w:val="1"/>
        </w:numPr>
      </w:pPr>
      <w:r>
        <w:rPr>
          <w:i/>
        </w:rPr>
        <w:t xml:space="preserve">{summary}</w:t>
      </w:r>
    </w:p>
    <w:p>
      <w:pPr>
        <w:pStyle w:val="Compact"/>
        <w:numPr>
          <w:numId w:val="1001"/>
          <w:ilvl w:val="0"/>
        </w:numPr>
      </w:pPr>
      <w:r>
        <w:t xml:space="preserve">Technical Considerations</w:t>
      </w:r>
    </w:p>
    <w:p>
      <w:pPr>
        <w:pStyle w:val="Compact"/>
        <w:numPr>
          <w:numId w:val="1004"/>
          <w:ilvl w:val="1"/>
        </w:numPr>
      </w:pPr>
      <w:r>
        <w:t xml:space="preserve">Limited Ecosystem</w:t>
      </w:r>
    </w:p>
    <w:p>
      <w:pPr>
        <w:pStyle w:val="Compact"/>
        <w:numPr>
          <w:numId w:val="1005"/>
          <w:ilvl w:val="2"/>
        </w:numPr>
      </w:pPr>
      <w:r>
        <w:t xml:space="preserve">FFmpeg</w:t>
      </w:r>
    </w:p>
    <w:p>
      <w:pPr>
        <w:pStyle w:val="Compact"/>
        <w:numPr>
          <w:numId w:val="1005"/>
          <w:ilvl w:val="2"/>
        </w:numPr>
      </w:pPr>
      <w:r>
        <w:t xml:space="preserve">SQL/NoSQL</w:t>
      </w:r>
    </w:p>
    <w:p>
      <w:pPr>
        <w:pStyle w:val="Compact"/>
        <w:numPr>
          <w:numId w:val="1005"/>
          <w:ilvl w:val="2"/>
        </w:numPr>
      </w:pPr>
      <w:r>
        <w:t xml:space="preserve">Codecs</w:t>
      </w:r>
    </w:p>
    <w:p>
      <w:pPr>
        <w:pStyle w:val="Compact"/>
        <w:numPr>
          <w:numId w:val="1006"/>
          <w:ilvl w:val="3"/>
        </w:numPr>
      </w:pPr>
      <w:r>
        <w:t xml:space="preserve">H.264/HVEC/…</w:t>
      </w:r>
      <w:r>
        <w:t xml:space="preserve"> </w:t>
      </w:r>
      <w:r>
        <w:rPr>
          <w:i/>
        </w:rPr>
        <w:t xml:space="preserve">{dominance of}</w:t>
      </w:r>
    </w:p>
    <w:p>
      <w:pPr>
        <w:pStyle w:val="Compact"/>
        <w:numPr>
          <w:numId w:val="1006"/>
          <w:ilvl w:val="3"/>
        </w:numPr>
      </w:pPr>
      <w:r>
        <w:t xml:space="preserve">HTTP Live Streaming (HLS)</w:t>
      </w:r>
      <w:r>
        <w:t xml:space="preserve"> </w:t>
      </w:r>
      <w:r>
        <w:rPr>
          <w:i/>
        </w:rPr>
        <w:t xml:space="preserve">{Apple}</w:t>
      </w:r>
    </w:p>
    <w:p>
      <w:pPr>
        <w:pStyle w:val="Compact"/>
        <w:numPr>
          <w:numId w:val="1006"/>
          <w:ilvl w:val="3"/>
        </w:numPr>
      </w:pPr>
      <w:r>
        <w:t xml:space="preserve">WebM</w:t>
      </w:r>
    </w:p>
    <w:p>
      <w:pPr>
        <w:pStyle w:val="Compact"/>
        <w:numPr>
          <w:numId w:val="1007"/>
          <w:ilvl w:val="4"/>
        </w:numPr>
      </w:pPr>
      <w:r>
        <w:t xml:space="preserve">VP9</w:t>
      </w:r>
      <w:r>
        <w:t xml:space="preserve"> </w:t>
      </w:r>
      <w:r>
        <w:rPr>
          <w:i/>
        </w:rPr>
        <w:t xml:space="preserve">{Google}</w:t>
      </w:r>
    </w:p>
    <w:p>
      <w:pPr>
        <w:pStyle w:val="Compact"/>
        <w:numPr>
          <w:numId w:val="1007"/>
          <w:ilvl w:val="4"/>
        </w:numPr>
      </w:pPr>
      <w:r>
        <w:t xml:space="preserve">Opus</w:t>
      </w:r>
    </w:p>
    <w:p>
      <w:pPr>
        <w:pStyle w:val="Compact"/>
        <w:numPr>
          <w:numId w:val="1006"/>
          <w:ilvl w:val="3"/>
        </w:numPr>
      </w:pPr>
      <w:r>
        <w:t xml:space="preserve">AV1</w:t>
      </w:r>
      <w:r>
        <w:t xml:space="preserve"> </w:t>
      </w:r>
      <w:r>
        <w:rPr>
          <w:i/>
        </w:rPr>
        <w:t xml:space="preserve">{where does this fit?}</w:t>
      </w:r>
    </w:p>
    <w:p>
      <w:pPr>
        <w:pStyle w:val="Compact"/>
        <w:numPr>
          <w:numId w:val="1005"/>
          <w:ilvl w:val="2"/>
        </w:numPr>
      </w:pPr>
      <w:r>
        <w:t xml:space="preserve">Adaptive Bit Rate (ABR) Streaming</w:t>
      </w:r>
    </w:p>
    <w:p>
      <w:pPr>
        <w:pStyle w:val="Compact"/>
        <w:numPr>
          <w:numId w:val="1008"/>
          <w:ilvl w:val="3"/>
        </w:numPr>
      </w:pPr>
      <w:r>
        <w:t xml:space="preserve">MPEG-DASH</w:t>
      </w:r>
    </w:p>
    <w:p>
      <w:pPr>
        <w:pStyle w:val="Compact"/>
        <w:numPr>
          <w:numId w:val="1008"/>
          <w:ilvl w:val="3"/>
        </w:numPr>
      </w:pPr>
      <w:r>
        <w:t xml:space="preserve">Live</w:t>
      </w:r>
    </w:p>
    <w:p>
      <w:pPr>
        <w:pStyle w:val="Compact"/>
        <w:numPr>
          <w:numId w:val="1008"/>
          <w:ilvl w:val="3"/>
        </w:numPr>
      </w:pPr>
      <w:r>
        <w:t xml:space="preserve">Video on Demand (VOD)</w:t>
      </w:r>
    </w:p>
    <w:p>
      <w:pPr>
        <w:pStyle w:val="Compact"/>
        <w:numPr>
          <w:numId w:val="1004"/>
          <w:ilvl w:val="1"/>
        </w:numPr>
      </w:pPr>
      <w:r>
        <w:t xml:space="preserve">Rapid, Independent Evolution of Technology Market</w:t>
      </w:r>
    </w:p>
    <w:p>
      <w:pPr>
        <w:pStyle w:val="Compact"/>
        <w:numPr>
          <w:numId w:val="1009"/>
          <w:ilvl w:val="2"/>
        </w:numPr>
      </w:pPr>
      <w:r>
        <w:t xml:space="preserve">Digital Audio and Video</w:t>
      </w:r>
    </w:p>
    <w:p>
      <w:pPr>
        <w:pStyle w:val="Compact"/>
        <w:numPr>
          <w:numId w:val="1010"/>
          <w:ilvl w:val="3"/>
        </w:numPr>
      </w:pPr>
      <w:r>
        <w:t xml:space="preserve">Purpose-built Codecs</w:t>
      </w:r>
    </w:p>
    <w:p>
      <w:pPr>
        <w:pStyle w:val="Compact"/>
        <w:numPr>
          <w:numId w:val="1010"/>
          <w:ilvl w:val="3"/>
        </w:numPr>
      </w:pPr>
      <w:r>
        <w:t xml:space="preserve">Patent and Royalty Issues</w:t>
      </w:r>
    </w:p>
    <w:p>
      <w:pPr>
        <w:pStyle w:val="Compact"/>
        <w:numPr>
          <w:numId w:val="1010"/>
          <w:ilvl w:val="3"/>
        </w:numPr>
      </w:pPr>
      <w:r>
        <w:t xml:space="preserve">Support Among Consumer Devices</w:t>
      </w:r>
    </w:p>
    <w:p>
      <w:pPr>
        <w:pStyle w:val="Compact"/>
        <w:numPr>
          <w:numId w:val="1009"/>
          <w:ilvl w:val="2"/>
        </w:numPr>
      </w:pPr>
      <w:r>
        <w:t xml:space="preserve">Encryption</w:t>
      </w:r>
    </w:p>
    <w:p>
      <w:pPr>
        <w:pStyle w:val="Compact"/>
        <w:numPr>
          <w:numId w:val="1009"/>
          <w:ilvl w:val="2"/>
        </w:numPr>
      </w:pPr>
      <w:r>
        <w:t xml:space="preserve">Web Browsers</w:t>
      </w:r>
    </w:p>
    <w:p>
      <w:pPr>
        <w:pStyle w:val="Compact"/>
        <w:numPr>
          <w:numId w:val="1009"/>
          <w:ilvl w:val="2"/>
        </w:numPr>
      </w:pPr>
      <w:r>
        <w:t xml:space="preserve">File storage</w:t>
      </w:r>
    </w:p>
    <w:p>
      <w:pPr>
        <w:pStyle w:val="Compact"/>
        <w:numPr>
          <w:numId w:val="1009"/>
          <w:ilvl w:val="2"/>
        </w:numPr>
      </w:pPr>
      <w:r>
        <w:t xml:space="preserve">Databases</w:t>
      </w:r>
    </w:p>
    <w:p>
      <w:pPr>
        <w:pStyle w:val="Compact"/>
        <w:numPr>
          <w:numId w:val="1004"/>
          <w:ilvl w:val="1"/>
        </w:numPr>
      </w:pPr>
      <w:r>
        <w:t xml:space="preserve">Proliferation of Audiovisual</w:t>
      </w:r>
      <w:r>
        <w:t xml:space="preserve"> </w:t>
      </w:r>
      <w:r>
        <w:t xml:space="preserve">“</w:t>
      </w:r>
      <w:r>
        <w:t xml:space="preserve">Innovations</w:t>
      </w:r>
      <w:r>
        <w:t xml:space="preserve">”</w:t>
      </w:r>
    </w:p>
    <w:p>
      <w:pPr>
        <w:pStyle w:val="Compact"/>
        <w:numPr>
          <w:numId w:val="1011"/>
          <w:ilvl w:val="2"/>
        </w:numPr>
      </w:pPr>
      <w:r>
        <w:t xml:space="preserve">Formats</w:t>
      </w:r>
    </w:p>
    <w:p>
      <w:pPr>
        <w:pStyle w:val="Compact"/>
        <w:numPr>
          <w:numId w:val="1012"/>
          <w:ilvl w:val="3"/>
        </w:numPr>
      </w:pPr>
      <w:r>
        <w:t xml:space="preserve">360° video</w:t>
      </w:r>
    </w:p>
    <w:p>
      <w:pPr>
        <w:pStyle w:val="Compact"/>
        <w:numPr>
          <w:numId w:val="1012"/>
          <w:ilvl w:val="3"/>
        </w:numPr>
      </w:pPr>
      <w:r>
        <w:t xml:space="preserve">High/Ultrahigh/… Definition</w:t>
      </w:r>
    </w:p>
    <w:p>
      <w:pPr>
        <w:pStyle w:val="Compact"/>
        <w:numPr>
          <w:numId w:val="1012"/>
          <w:ilvl w:val="3"/>
        </w:numPr>
      </w:pPr>
      <w:r>
        <w:t xml:space="preserve">Virtual Reality</w:t>
      </w:r>
    </w:p>
    <w:p>
      <w:pPr>
        <w:pStyle w:val="Compact"/>
        <w:numPr>
          <w:numId w:val="1011"/>
          <w:ilvl w:val="2"/>
        </w:numPr>
      </w:pPr>
      <w:r>
        <w:t xml:space="preserve">Processing</w:t>
      </w:r>
    </w:p>
    <w:p>
      <w:pPr>
        <w:pStyle w:val="Compact"/>
        <w:numPr>
          <w:numId w:val="1013"/>
          <w:ilvl w:val="3"/>
        </w:numPr>
      </w:pPr>
      <w:r>
        <w:t xml:space="preserve">Augmented Reality</w:t>
      </w:r>
    </w:p>
    <w:p>
      <w:pPr>
        <w:pStyle w:val="Compact"/>
        <w:numPr>
          <w:numId w:val="1013"/>
          <w:ilvl w:val="3"/>
        </w:numPr>
      </w:pPr>
      <w:r>
        <w:t xml:space="preserve">Deidentification</w:t>
      </w:r>
    </w:p>
    <w:p>
      <w:pPr>
        <w:pStyle w:val="Compact"/>
        <w:numPr>
          <w:numId w:val="1013"/>
          <w:ilvl w:val="3"/>
        </w:numPr>
      </w:pPr>
      <w:r>
        <w:t xml:space="preserve">Motion (video)</w:t>
      </w:r>
    </w:p>
    <w:p>
      <w:pPr>
        <w:pStyle w:val="Compact"/>
        <w:numPr>
          <w:numId w:val="1013"/>
          <w:ilvl w:val="3"/>
        </w:numPr>
      </w:pPr>
      <w:r>
        <w:t xml:space="preserve">Natural Language (audio)</w:t>
      </w:r>
    </w:p>
    <w:p>
      <w:pPr>
        <w:pStyle w:val="Compact"/>
        <w:numPr>
          <w:numId w:val="1004"/>
          <w:ilvl w:val="1"/>
        </w:numPr>
      </w:pPr>
      <w:r>
        <w:t xml:space="preserve">Legal</w:t>
      </w:r>
    </w:p>
    <w:p>
      <w:pPr>
        <w:pStyle w:val="Compact"/>
        <w:numPr>
          <w:numId w:val="1014"/>
          <w:ilvl w:val="2"/>
        </w:numPr>
      </w:pPr>
      <w:r>
        <w:t xml:space="preserve">Free</w:t>
      </w:r>
    </w:p>
    <w:p>
      <w:pPr>
        <w:pStyle w:val="Compact"/>
        <w:numPr>
          <w:numId w:val="1015"/>
          <w:ilvl w:val="3"/>
        </w:numPr>
      </w:pPr>
      <w:r>
        <w:t xml:space="preserve">VP9, AV1, …</w:t>
      </w:r>
    </w:p>
    <w:p>
      <w:pPr>
        <w:pStyle w:val="Compact"/>
        <w:numPr>
          <w:numId w:val="1015"/>
          <w:ilvl w:val="3"/>
        </w:numPr>
      </w:pPr>
      <w:r>
        <w:t xml:space="preserve">Open Source Licenses</w:t>
      </w:r>
      <w:r>
        <w:t xml:space="preserve"> </w:t>
      </w:r>
      <w:r>
        <w:rPr>
          <w:i/>
        </w:rPr>
        <w:t xml:space="preserve">{and their issues}</w:t>
      </w:r>
    </w:p>
    <w:p>
      <w:pPr>
        <w:pStyle w:val="Compact"/>
        <w:numPr>
          <w:numId w:val="1014"/>
          <w:ilvl w:val="2"/>
        </w:numPr>
      </w:pPr>
      <w:r>
        <w:t xml:space="preserve">Nonfree</w:t>
      </w:r>
    </w:p>
    <w:p>
      <w:pPr>
        <w:pStyle w:val="Compact"/>
        <w:numPr>
          <w:numId w:val="1016"/>
          <w:ilvl w:val="3"/>
        </w:numPr>
      </w:pPr>
      <w:r>
        <w:t xml:space="preserve">MPEG-LA, HEVC Advance, Technicolor, Velos Media, …</w:t>
      </w:r>
    </w:p>
    <w:p>
      <w:pPr>
        <w:pStyle w:val="Compact"/>
        <w:numPr>
          <w:numId w:val="1016"/>
          <w:ilvl w:val="3"/>
        </w:numPr>
      </w:pPr>
      <w:r>
        <w:t xml:space="preserve">Wide Variance of Patent Laws</w:t>
      </w:r>
    </w:p>
    <w:p>
      <w:pPr>
        <w:pStyle w:val="Compact"/>
        <w:numPr>
          <w:numId w:val="1014"/>
          <w:ilvl w:val="2"/>
        </w:numPr>
      </w:pPr>
      <w:r>
        <w:t xml:space="preserve">Content</w:t>
      </w:r>
    </w:p>
    <w:p>
      <w:pPr>
        <w:pStyle w:val="Compact"/>
        <w:numPr>
          <w:numId w:val="1017"/>
          <w:ilvl w:val="3"/>
        </w:numPr>
      </w:pPr>
      <w:r>
        <w:t xml:space="preserve">Distributed Storage</w:t>
      </w:r>
    </w:p>
    <w:p>
      <w:pPr>
        <w:pStyle w:val="Compact"/>
        <w:numPr>
          <w:numId w:val="1017"/>
          <w:ilvl w:val="3"/>
        </w:numPr>
      </w:pPr>
      <w:r>
        <w:t xml:space="preserve">Digital Rights Management (DRM)</w:t>
      </w:r>
    </w:p>
    <w:p>
      <w:pPr>
        <w:pStyle w:val="Compact"/>
        <w:numPr>
          <w:numId w:val="1017"/>
          <w:ilvl w:val="3"/>
        </w:numPr>
      </w:pPr>
      <w:r>
        <w:t xml:space="preserve">Signatures</w:t>
      </w:r>
    </w:p>
    <w:p>
      <w:pPr>
        <w:pStyle w:val="Compact"/>
        <w:numPr>
          <w:numId w:val="1004"/>
          <w:ilvl w:val="1"/>
        </w:numPr>
      </w:pPr>
      <w:r>
        <w:t xml:space="preserve">Escalation of Computational Overhead</w:t>
      </w:r>
      <w:r>
        <w:t xml:space="preserve"> </w:t>
      </w:r>
      <w:r>
        <w:rPr>
          <w:i/>
        </w:rPr>
        <w:t xml:space="preserve">{due to above items}</w:t>
      </w:r>
    </w:p>
    <w:p>
      <w:pPr>
        <w:pStyle w:val="Compact"/>
        <w:numPr>
          <w:numId w:val="1018"/>
          <w:ilvl w:val="2"/>
        </w:numPr>
      </w:pPr>
      <w:r>
        <w:t xml:space="preserve">Storage</w:t>
      </w:r>
    </w:p>
    <w:p>
      <w:pPr>
        <w:pStyle w:val="Compact"/>
        <w:numPr>
          <w:numId w:val="1019"/>
          <w:ilvl w:val="3"/>
        </w:numPr>
      </w:pPr>
      <w:r>
        <w:t xml:space="preserve">Demands of Modern AV Formats</w:t>
      </w:r>
    </w:p>
    <w:p>
      <w:pPr>
        <w:pStyle w:val="Compact"/>
        <w:numPr>
          <w:numId w:val="1019"/>
          <w:ilvl w:val="3"/>
        </w:numPr>
      </w:pPr>
      <w:r>
        <w:t xml:space="preserve">Challenges of Adaptive Streaming</w:t>
      </w:r>
    </w:p>
    <w:p>
      <w:pPr>
        <w:pStyle w:val="Compact"/>
        <w:numPr>
          <w:numId w:val="1020"/>
          <w:ilvl w:val="4"/>
        </w:numPr>
      </w:pPr>
      <w:r>
        <w:t xml:space="preserve">Multiple Bit Rate Encodings</w:t>
      </w:r>
    </w:p>
    <w:p>
      <w:pPr>
        <w:pStyle w:val="Compact"/>
        <w:numPr>
          <w:numId w:val="1020"/>
          <w:ilvl w:val="4"/>
        </w:numPr>
      </w:pPr>
      <w:r>
        <w:t xml:space="preserve">Manifests</w:t>
      </w:r>
    </w:p>
    <w:p>
      <w:pPr>
        <w:pStyle w:val="Compact"/>
        <w:numPr>
          <w:numId w:val="1020"/>
          <w:ilvl w:val="4"/>
        </w:numPr>
      </w:pPr>
      <w:r>
        <w:t xml:space="preserve">File Management</w:t>
      </w:r>
    </w:p>
    <w:p>
      <w:pPr>
        <w:pStyle w:val="Compact"/>
        <w:numPr>
          <w:numId w:val="1020"/>
          <w:ilvl w:val="4"/>
        </w:numPr>
      </w:pPr>
      <w:r>
        <w:rPr>
          <w:i/>
        </w:rPr>
        <w:t xml:space="preserve">{see WebM wiki}</w:t>
      </w:r>
    </w:p>
    <w:p>
      <w:pPr>
        <w:pStyle w:val="Compact"/>
        <w:numPr>
          <w:numId w:val="1019"/>
          <w:ilvl w:val="3"/>
        </w:numPr>
      </w:pPr>
      <w:r>
        <w:t xml:space="preserve">Non-AV Data</w:t>
      </w:r>
    </w:p>
    <w:p>
      <w:pPr>
        <w:pStyle w:val="Compact"/>
        <w:numPr>
          <w:numId w:val="1021"/>
          <w:ilvl w:val="4"/>
        </w:numPr>
      </w:pPr>
      <w:r>
        <w:t xml:space="preserve">Complexifying Datasets</w:t>
      </w:r>
    </w:p>
    <w:p>
      <w:pPr>
        <w:pStyle w:val="Compact"/>
        <w:numPr>
          <w:numId w:val="1021"/>
          <w:ilvl w:val="4"/>
        </w:numPr>
      </w:pPr>
      <w:r>
        <w:t xml:space="preserve">Verbosity</w:t>
      </w:r>
    </w:p>
    <w:p>
      <w:pPr>
        <w:pStyle w:val="Compact"/>
        <w:numPr>
          <w:numId w:val="1021"/>
          <w:ilvl w:val="4"/>
        </w:numPr>
      </w:pPr>
      <w:r>
        <w:t xml:space="preserve">Search Methods</w:t>
      </w:r>
    </w:p>
    <w:p>
      <w:pPr>
        <w:pStyle w:val="Compact"/>
        <w:numPr>
          <w:numId w:val="1018"/>
          <w:ilvl w:val="2"/>
        </w:numPr>
      </w:pPr>
      <w:r>
        <w:t xml:space="preserve">Transmission</w:t>
      </w:r>
    </w:p>
    <w:p>
      <w:pPr>
        <w:pStyle w:val="Compact"/>
        <w:numPr>
          <w:numId w:val="1022"/>
          <w:ilvl w:val="3"/>
        </w:numPr>
      </w:pPr>
      <w:r>
        <w:t xml:space="preserve">Asynchonous Transfer</w:t>
      </w:r>
    </w:p>
    <w:p>
      <w:pPr>
        <w:pStyle w:val="Compact"/>
        <w:numPr>
          <w:numId w:val="1022"/>
          <w:ilvl w:val="3"/>
        </w:numPr>
      </w:pPr>
      <w:r>
        <w:t xml:space="preserve">Bandwidth</w:t>
      </w:r>
    </w:p>
    <w:p>
      <w:pPr>
        <w:pStyle w:val="Compact"/>
        <w:numPr>
          <w:numId w:val="1023"/>
          <w:ilvl w:val="4"/>
        </w:numPr>
      </w:pPr>
      <w:r>
        <w:rPr>
          <w:i/>
        </w:rPr>
        <w:t xml:space="preserve">{especially, changes in}</w:t>
      </w:r>
    </w:p>
    <w:p>
      <w:pPr>
        <w:pStyle w:val="Compact"/>
        <w:numPr>
          <w:numId w:val="1022"/>
          <w:ilvl w:val="3"/>
        </w:numPr>
      </w:pPr>
      <w:r>
        <w:t xml:space="preserve">Physical Configuration of Path</w:t>
      </w:r>
    </w:p>
    <w:p>
      <w:pPr>
        <w:pStyle w:val="Compact"/>
        <w:numPr>
          <w:numId w:val="1018"/>
          <w:ilvl w:val="2"/>
        </w:numPr>
      </w:pPr>
      <w:r>
        <w:t xml:space="preserve">Hardware Specialization</w:t>
      </w:r>
      <w:r>
        <w:t xml:space="preserve"> </w:t>
      </w:r>
      <w:r>
        <w:rPr>
          <w:i/>
        </w:rPr>
        <w:t xml:space="preserve">{it’s awkward trip to specialization via generic hardware}</w:t>
      </w:r>
    </w:p>
    <w:p>
      <w:pPr>
        <w:pStyle w:val="Compact"/>
        <w:numPr>
          <w:numId w:val="1018"/>
          <w:ilvl w:val="2"/>
        </w:numPr>
      </w:pPr>
      <w:r>
        <w:t xml:space="preserve">Coordination of Physically Distributed Services</w:t>
      </w:r>
    </w:p>
    <w:p>
      <w:pPr>
        <w:pStyle w:val="Compact"/>
        <w:numPr>
          <w:numId w:val="1004"/>
          <w:ilvl w:val="1"/>
        </w:numPr>
      </w:pPr>
      <w:r>
        <w:t xml:space="preserve">Security</w:t>
      </w:r>
    </w:p>
    <w:p>
      <w:pPr>
        <w:pStyle w:val="Compact"/>
        <w:numPr>
          <w:numId w:val="1024"/>
          <w:ilvl w:val="2"/>
        </w:numPr>
      </w:pPr>
      <w:r>
        <w:t xml:space="preserve">Complexities Introduced by Physical Distribution</w:t>
      </w:r>
    </w:p>
    <w:p>
      <w:pPr>
        <w:pStyle w:val="Compact"/>
        <w:numPr>
          <w:numId w:val="1024"/>
          <w:ilvl w:val="2"/>
        </w:numPr>
      </w:pPr>
      <w:r>
        <w:t xml:space="preserve">Access to Nodes</w:t>
      </w:r>
    </w:p>
    <w:p>
      <w:pPr>
        <w:pStyle w:val="Compact"/>
        <w:numPr>
          <w:numId w:val="1024"/>
          <w:ilvl w:val="2"/>
        </w:numPr>
      </w:pPr>
      <w:r>
        <w:t xml:space="preserve">Encryption and Encryptability</w:t>
      </w:r>
    </w:p>
    <w:p>
      <w:pPr>
        <w:pStyle w:val="Compact"/>
        <w:numPr>
          <w:numId w:val="1024"/>
          <w:ilvl w:val="2"/>
        </w:numPr>
      </w:pPr>
      <w:r>
        <w:t xml:space="preserve">User Authentication</w:t>
      </w:r>
    </w:p>
    <w:p>
      <w:pPr>
        <w:pStyle w:val="Compact"/>
        <w:numPr>
          <w:numId w:val="1001"/>
          <w:ilvl w:val="0"/>
        </w:numPr>
      </w:pPr>
      <w:r>
        <w:t xml:space="preserve">Meeting Needs and Addressing Challenges</w:t>
      </w:r>
    </w:p>
    <w:p>
      <w:pPr>
        <w:pStyle w:val="Compact"/>
        <w:numPr>
          <w:numId w:val="1025"/>
          <w:ilvl w:val="1"/>
        </w:numPr>
      </w:pPr>
      <w:r>
        <w:t xml:space="preserve">Technology-agnostic Framework</w:t>
      </w:r>
    </w:p>
    <w:p>
      <w:pPr>
        <w:pStyle w:val="Compact"/>
        <w:numPr>
          <w:numId w:val="1026"/>
          <w:ilvl w:val="2"/>
        </w:numPr>
      </w:pPr>
      <w:r>
        <w:t xml:space="preserve">(Service) Broker</w:t>
      </w:r>
    </w:p>
    <w:p>
      <w:pPr>
        <w:pStyle w:val="Compact"/>
        <w:numPr>
          <w:numId w:val="1026"/>
          <w:ilvl w:val="2"/>
        </w:numPr>
      </w:pPr>
      <w:r>
        <w:t xml:space="preserve">Node-based Architecture</w:t>
      </w:r>
    </w:p>
    <w:p>
      <w:pPr>
        <w:pStyle w:val="Compact"/>
        <w:numPr>
          <w:numId w:val="1026"/>
          <w:ilvl w:val="2"/>
        </w:numPr>
      </w:pPr>
      <w:r>
        <w:t xml:space="preserve">Data as a First-Order Citizen</w:t>
      </w:r>
    </w:p>
    <w:p>
      <w:pPr>
        <w:pStyle w:val="Compact"/>
        <w:numPr>
          <w:numId w:val="1026"/>
          <w:ilvl w:val="2"/>
        </w:numPr>
      </w:pPr>
      <w:r>
        <w:t xml:space="preserve">Avoids (Explicit and Implicit) Vendor Lock-In</w:t>
      </w:r>
    </w:p>
    <w:p>
      <w:pPr>
        <w:pStyle w:val="Compact"/>
        <w:numPr>
          <w:numId w:val="1025"/>
          <w:ilvl w:val="1"/>
        </w:numPr>
      </w:pPr>
      <w:r>
        <w:t xml:space="preserve">Actor Model</w:t>
      </w:r>
      <w:r>
        <w:t xml:space="preserve"> </w:t>
      </w:r>
      <w:r>
        <w:rPr>
          <w:i/>
        </w:rPr>
        <w:t xml:space="preserve">{see @LBWhyActors and related}</w:t>
      </w:r>
    </w:p>
    <w:p>
      <w:pPr>
        <w:pStyle w:val="Compact"/>
        <w:numPr>
          <w:numId w:val="1027"/>
          <w:ilvl w:val="2"/>
        </w:numPr>
      </w:pPr>
      <w:r>
        <w:t xml:space="preserve">Modular</w:t>
      </w:r>
    </w:p>
    <w:p>
      <w:pPr>
        <w:pStyle w:val="Compact"/>
        <w:numPr>
          <w:numId w:val="1027"/>
          <w:ilvl w:val="2"/>
        </w:numPr>
      </w:pPr>
      <w:r>
        <w:t xml:space="preserve">Encapsulated Services</w:t>
      </w:r>
    </w:p>
    <w:p>
      <w:pPr>
        <w:pStyle w:val="Compact"/>
        <w:numPr>
          <w:numId w:val="1027"/>
          <w:ilvl w:val="2"/>
        </w:numPr>
      </w:pPr>
      <w:r>
        <w:t xml:space="preserve">Rigorous Separation of Concerns</w:t>
      </w:r>
    </w:p>
    <w:p>
      <w:pPr>
        <w:pStyle w:val="Compact"/>
        <w:numPr>
          <w:numId w:val="1025"/>
          <w:ilvl w:val="1"/>
        </w:numPr>
      </w:pPr>
      <w:r>
        <w:t xml:space="preserve">Open Standards</w:t>
      </w:r>
    </w:p>
    <w:p>
      <w:pPr>
        <w:pStyle w:val="Compact"/>
        <w:numPr>
          <w:numId w:val="1028"/>
          <w:ilvl w:val="2"/>
        </w:numPr>
      </w:pPr>
      <w:r>
        <w:t xml:space="preserve">JSON</w:t>
      </w:r>
    </w:p>
    <w:p>
      <w:pPr>
        <w:pStyle w:val="Compact"/>
        <w:numPr>
          <w:numId w:val="1028"/>
          <w:ilvl w:val="2"/>
        </w:numPr>
      </w:pPr>
      <w:r>
        <w:t xml:space="preserve">Akka</w:t>
      </w:r>
      <w:r>
        <w:t xml:space="preserve"> </w:t>
      </w:r>
      <w:r>
        <w:rPr>
          <w:i/>
        </w:rPr>
        <w:t xml:space="preserve">{</w:t>
      </w:r>
      <w:hyperlink r:id="rId22">
        <w:r>
          <w:rPr>
            <w:rStyle w:val="Hyperlink"/>
            <w:i/>
          </w:rPr>
          <w:t xml:space="preserve">Apache 2.0 License</w:t>
        </w:r>
      </w:hyperlink>
      <w:r>
        <w:rPr>
          <w:i/>
        </w:rPr>
        <w:t xml:space="preserve">}</w:t>
      </w:r>
    </w:p>
    <w:p>
      <w:pPr>
        <w:pStyle w:val="Compact"/>
        <w:numPr>
          <w:numId w:val="1028"/>
          <w:ilvl w:val="2"/>
        </w:numPr>
      </w:pPr>
      <w:r>
        <w:t xml:space="preserve">VP9/AV1/…</w:t>
      </w:r>
    </w:p>
    <w:p>
      <w:pPr>
        <w:pStyle w:val="Compact"/>
        <w:numPr>
          <w:numId w:val="1028"/>
          <w:ilvl w:val="2"/>
        </w:numPr>
      </w:pPr>
      <w:r>
        <w:t xml:space="preserve">Opus</w:t>
      </w:r>
    </w:p>
    <w:p>
      <w:pPr>
        <w:pStyle w:val="Compact"/>
        <w:numPr>
          <w:numId w:val="1028"/>
          <w:ilvl w:val="2"/>
        </w:numPr>
      </w:pPr>
      <w:r>
        <w:t xml:space="preserve">WebM</w:t>
      </w:r>
    </w:p>
    <w:p>
      <w:pPr>
        <w:pStyle w:val="Compact"/>
        <w:numPr>
          <w:numId w:val="1025"/>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29"/>
          <w:ilvl w:val="2"/>
        </w:numPr>
      </w:pPr>
      <w:r>
        <w:t xml:space="preserve">Community-Driven</w:t>
      </w:r>
    </w:p>
    <w:p>
      <w:pPr>
        <w:pStyle w:val="Compact"/>
        <w:numPr>
          <w:numId w:val="1029"/>
          <w:ilvl w:val="2"/>
        </w:numPr>
      </w:pPr>
      <w:r>
        <w:t xml:space="preserve">Fully Reviewable (security)</w:t>
      </w:r>
    </w:p>
    <w:p>
      <w:pPr>
        <w:pStyle w:val="Compact"/>
        <w:numPr>
          <w:numId w:val="1029"/>
          <w:ilvl w:val="2"/>
        </w:numPr>
      </w:pPr>
      <w:r>
        <w:t xml:space="preserve">Modafiable</w:t>
      </w:r>
    </w:p>
    <w:p>
      <w:pPr>
        <w:pStyle w:val="Compact"/>
        <w:numPr>
          <w:numId w:val="1025"/>
          <w:ilvl w:val="1"/>
        </w:numPr>
      </w:pPr>
      <w:r>
        <w:t xml:space="preserve">Robust Testing Framework</w:t>
      </w:r>
    </w:p>
    <w:p>
      <w:pPr>
        <w:pStyle w:val="Compact"/>
        <w:numPr>
          <w:numId w:val="1030"/>
          <w:ilvl w:val="2"/>
        </w:numPr>
      </w:pPr>
      <w:r>
        <w:t xml:space="preserve">Network Loading</w:t>
      </w:r>
    </w:p>
    <w:p>
      <w:pPr>
        <w:pStyle w:val="Compact"/>
        <w:numPr>
          <w:numId w:val="1030"/>
          <w:ilvl w:val="2"/>
        </w:numPr>
      </w:pPr>
      <w:r>
        <w:t xml:space="preserve">Reference Datasets</w:t>
      </w:r>
    </w:p>
    <w:p>
      <w:pPr>
        <w:pStyle w:val="Compact"/>
        <w:numPr>
          <w:numId w:val="1030"/>
          <w:ilvl w:val="2"/>
        </w:numPr>
      </w:pPr>
      <w:r>
        <w:t xml:space="preserve">Stream Performance</w:t>
      </w:r>
    </w:p>
    <w:p>
      <w:pPr>
        <w:pStyle w:val="Compact"/>
        <w:numPr>
          <w:numId w:val="1025"/>
          <w:ilvl w:val="1"/>
        </w:numPr>
      </w:pPr>
      <w:r>
        <w:t xml:space="preserve">Patent and Royalty Free</w:t>
      </w:r>
    </w:p>
    <w:p>
      <w:pPr>
        <w:pStyle w:val="Compact"/>
        <w:numPr>
          <w:numId w:val="1001"/>
          <w:ilvl w:val="0"/>
        </w:numPr>
      </w:pPr>
      <w:r>
        <w:t xml:space="preserve">Conclusion</w:t>
      </w:r>
    </w:p>
    <w:p>
      <w:pPr>
        <w:pStyle w:val="Compact"/>
        <w:numPr>
          <w:numId w:val="1031"/>
          <w:ilvl w:val="1"/>
        </w:numPr>
      </w:pPr>
      <w:r>
        <w:rPr>
          <w:i/>
        </w:rPr>
        <w:t xml:space="preserve">{algined with open source tools}</w:t>
      </w:r>
    </w:p>
    <w:p>
      <w:pPr>
        <w:pStyle w:val="Compact"/>
        <w:numPr>
          <w:numId w:val="1031"/>
          <w:ilvl w:val="1"/>
        </w:numPr>
      </w:pPr>
      <w:r>
        <w:rPr>
          <w:i/>
        </w:rPr>
        <w:t xml:space="preserve">{avoids vendor/platform (clear up) lock-in}</w:t>
      </w:r>
    </w:p>
    <w:p>
      <w:pPr>
        <w:pStyle w:val="Compact"/>
        <w:numPr>
          <w:numId w:val="1031"/>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31"/>
          <w:ilvl w:val="1"/>
        </w:numPr>
      </w:pPr>
      <w:r>
        <w:rPr>
          <w:i/>
        </w:rPr>
        <w:t xml:space="preserve">{increases visibility of difficult engineering issues}</w:t>
      </w:r>
    </w:p>
    <w:p>
      <w:pPr>
        <w:pStyle w:val="Compact"/>
        <w:numPr>
          <w:numId w:val="1031"/>
          <w:ilvl w:val="1"/>
        </w:numPr>
      </w:pPr>
      <w:r>
        <w:rPr>
          <w:i/>
        </w:rPr>
        <w:t xml:space="preserve">{fundamentally different motivations}</w:t>
      </w:r>
    </w:p>
    <w:p>
      <w:pPr>
        <w:pStyle w:val="Heading2"/>
      </w:pPr>
      <w:bookmarkStart w:id="23" w:name="introduction"/>
      <w:r>
        <w:t xml:space="preserve">Introduction</w:t>
      </w:r>
      <w:bookmarkEnd w:id="23"/>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4"/>
      </w:r>
      <w:r>
        <w:t xml:space="preserve"> </w:t>
      </w:r>
      <w:r>
        <w:t xml:space="preserve">Though buy-in costs have remained high, the health education sector views simulation technology as valuable,</w:t>
      </w:r>
      <w:r>
        <w:rPr>
          <w:rStyle w:val="FootnoteReference"/>
        </w:rPr>
        <w:footnoteReference w:id="25"/>
      </w:r>
      <w:r>
        <w:t xml:space="preserve"> </w:t>
      </w:r>
      <w:r>
        <w:t xml:space="preserve">and there is growing evidence improved education outcomes are beginning to show across an increasing spectrum of psychomotor skills.</w:t>
      </w:r>
      <w:r>
        <w:rPr>
          <w:rStyle w:val="FootnoteReference"/>
        </w:rPr>
        <w:footnoteReference w:id="26"/>
      </w:r>
      <w:r>
        <w:rPr>
          <w:rStyle w:val="FootnoteReference"/>
        </w:rPr>
        <w:footnoteReference w:id="27"/>
      </w:r>
      <w:r>
        <w:rPr>
          <w:rStyle w:val="FootnoteReference"/>
        </w:rPr>
        <w:footnoteReference w:id="28"/>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29"/>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1"/>
      </w:r>
    </w:p>
    <w:p>
      <w:pPr>
        <w:pStyle w:val="BodyText"/>
      </w:pPr>
      <w:r>
        <w:t xml:space="preserve">Given that AV systems are an essential debriefing tool, and that debriefing is the most important part of simulation,</w:t>
      </w:r>
      <w:r>
        <w:rPr>
          <w:rStyle w:val="FootnoteReference"/>
        </w:rPr>
        <w:footnoteReference w:id="32"/>
      </w:r>
      <w:r>
        <w:t xml:space="preserve"> </w:t>
      </w:r>
      <w:r>
        <w:t xml:space="preserve">difficulty matching tool to task is likely to degrade Return on Investment (ROI) for a simulation laboratory and its constituents.</w:t>
      </w:r>
    </w:p>
    <w:p>
      <w:pPr>
        <w:pStyle w:val="BodyText"/>
      </w:pPr>
      <w:r>
        <w:rPr>
          <w:i/>
        </w:rPr>
        <w:t xml:space="preserve">vision</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3"/>
      </w:pPr>
      <w:bookmarkStart w:id="33" w:name="nomenclature"/>
      <w:r>
        <w:t xml:space="preserve">Nomenclature</w:t>
      </w:r>
      <w:bookmarkEnd w:id="33"/>
    </w:p>
    <w:p>
      <w:pPr>
        <w:pStyle w:val="Compact"/>
        <w:numPr>
          <w:numId w:val="1032"/>
          <w:ilvl w:val="0"/>
        </w:numPr>
      </w:pPr>
      <w:r>
        <w:t xml:space="preserve">format</w:t>
      </w:r>
    </w:p>
    <w:p>
      <w:pPr>
        <w:pStyle w:val="Compact"/>
        <w:numPr>
          <w:numId w:val="1032"/>
          <w:ilvl w:val="0"/>
        </w:numPr>
      </w:pPr>
      <w:r>
        <w:t xml:space="preserve">codec</w:t>
      </w:r>
    </w:p>
    <w:p>
      <w:pPr>
        <w:pStyle w:val="Compact"/>
        <w:numPr>
          <w:numId w:val="1032"/>
          <w:ilvl w:val="0"/>
        </w:numPr>
      </w:pPr>
      <w:r>
        <w:t xml:space="preserve">encoder</w:t>
      </w:r>
    </w:p>
    <w:p>
      <w:pPr>
        <w:pStyle w:val="Compact"/>
        <w:numPr>
          <w:numId w:val="1032"/>
          <w:ilvl w:val="0"/>
        </w:numPr>
      </w:pPr>
      <w:r>
        <w:t xml:space="preserve">decoder</w:t>
      </w:r>
    </w:p>
    <w:p>
      <w:pPr>
        <w:pStyle w:val="Heading2"/>
      </w:pPr>
      <w:bookmarkStart w:id="34" w:name="summary-of-current-issues"/>
      <w:r>
        <w:t xml:space="preserve">Summary of Current Issues</w:t>
      </w:r>
      <w:bookmarkEnd w:id="34"/>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However, capture and delivery of AV data is decidedly</w:t>
      </w:r>
      <w:r>
        <w:t xml:space="preserve"> </w:t>
      </w:r>
      <w:r>
        <w:rPr>
          <w:i/>
        </w:rPr>
        <w:t xml:space="preserve">not</w:t>
      </w:r>
      <w:r>
        <w:t xml:space="preserve"> </w:t>
      </w:r>
      <w:r>
        <w:t xml:space="preserve">an encapsulated service; it relies on an extensive technology stack crossing many domains</w:t>
      </w:r>
      <w:r>
        <w:rPr>
          <w:rStyle w:val="FootnoteReference"/>
        </w:rPr>
        <w:footnoteReference w:id="35"/>
      </w:r>
      <w:r>
        <w:t xml:space="preserve"> </w:t>
      </w:r>
      <w:r>
        <w:t xml:space="preserve">that evolve independently and according to their own needs. Thus AV vendors are consumers and users of a wide range of technology products used to deliver a service to</w:t>
      </w:r>
      <w:r>
        <w:t xml:space="preserve"> </w:t>
      </w:r>
      <w:r>
        <w:rPr>
          <w:i/>
        </w:rPr>
        <w:t xml:space="preserve">their</w:t>
      </w:r>
      <w:r>
        <w:t xml:space="preserve"> </w:t>
      </w:r>
      <w:r>
        <w:t xml:space="preserve">customers, who implicitly</w:t>
      </w:r>
      <w:r>
        <w:t xml:space="preserve"> </w:t>
      </w:r>
      <w:r>
        <w:t xml:space="preserve">“</w:t>
      </w:r>
      <w:r>
        <w:t xml:space="preserve">buy in</w:t>
      </w:r>
      <w:r>
        <w:t xml:space="preserve">”</w:t>
      </w:r>
      <w:r>
        <w:t xml:space="preserve"> </w:t>
      </w:r>
      <w:r>
        <w:t xml:space="preserve">to these decisions when they deploy a given service. Though there is nothing inherently wrong with this practice, it is heavily obfuscated in marketing and sales materials, which focus on per-device specification and leave the buyer to discern whether their deployment environment can accommodate those devices</w:t>
      </w:r>
      <w:r>
        <w:t xml:space="preserve"> </w:t>
      </w:r>
      <w:r>
        <w:rPr>
          <w:i/>
        </w:rPr>
        <w:t xml:space="preserve">{REWORD}</w:t>
      </w:r>
      <w:r>
        <w:t xml:space="preserve">. Given the cost and specificity of deploying an AV service within a medical simulation laboratory, consumers deserve a chance to review and question decisions ostensibly made on their behalf.</w:t>
      </w:r>
    </w:p>
    <w:p>
      <w:pPr>
        <w:pStyle w:val="BodyText"/>
      </w:pPr>
      <w:r>
        <w:t xml:space="preserve">For convenience, this paper summarizes current issues and challenges facing developers and consumers of AV services using three broad categories of interest to both parties:</w:t>
      </w:r>
      <w:r>
        <w:t xml:space="preserve"> </w:t>
      </w:r>
      <w:r>
        <w:rPr>
          <w:i/>
        </w:rPr>
        <w:t xml:space="preserve">Engineering and Technical</w:t>
      </w:r>
      <w:r>
        <w:t xml:space="preserve">,</w:t>
      </w:r>
      <w:r>
        <w:t xml:space="preserve"> </w:t>
      </w:r>
      <w:r>
        <w:rPr>
          <w:i/>
        </w:rPr>
        <w:t xml:space="preserve">Patents and Ownership</w:t>
      </w:r>
      <w:r>
        <w:t xml:space="preserve">, and</w:t>
      </w:r>
      <w:r>
        <w:t xml:space="preserve"> </w:t>
      </w:r>
      <w:r>
        <w:rPr>
          <w:i/>
        </w:rPr>
        <w:t xml:space="preserve">Market Pressures</w:t>
      </w:r>
      <w:r>
        <w:t xml:space="preserve">. It is the author’s opinion the interaction of these categories accurately depicts the realities and peculiarities of the market vendors and consumers of AV services for medical simulation laboratories find themselves in.</w:t>
      </w:r>
      <w:r>
        <w:t xml:space="preserve"> </w:t>
      </w:r>
      <w:r>
        <w:rPr>
          <w:i/>
        </w:rPr>
        <w:t xml:space="preserve">vision</w:t>
      </w:r>
      <w:r>
        <w:t xml:space="preserve"> </w:t>
      </w:r>
      <w:r>
        <w:t xml:space="preserve">is built to make these issues clear, and address as many of them as is practical in an</w:t>
      </w:r>
      <w:r>
        <w:t xml:space="preserve"> </w:t>
      </w:r>
      <w:r>
        <w:rPr>
          <w:i/>
        </w:rPr>
        <w:t xml:space="preserve">open</w:t>
      </w:r>
      <w:r>
        <w:t xml:space="preserve"> </w:t>
      </w:r>
      <w:r>
        <w:t xml:space="preserve">and</w:t>
      </w:r>
      <w:r>
        <w:t xml:space="preserve"> </w:t>
      </w:r>
      <w:r>
        <w:rPr>
          <w:i/>
        </w:rPr>
        <w:t xml:space="preserve">collaborative</w:t>
      </w:r>
      <w:r>
        <w:t xml:space="preserve"> </w:t>
      </w:r>
      <w:r>
        <w:t xml:space="preserve">way.</w:t>
      </w:r>
    </w:p>
    <w:p>
      <w:pPr>
        <w:pStyle w:val="Heading3"/>
      </w:pPr>
      <w:bookmarkStart w:id="36" w:name="engineering-and-technical"/>
      <w:r>
        <w:t xml:space="preserve">Engineering and Technical</w:t>
      </w:r>
      <w:bookmarkEnd w:id="36"/>
    </w:p>
    <w:p>
      <w:pPr>
        <w:pStyle w:val="FirstParagraph"/>
      </w:pPr>
      <w:r>
        <w:t xml:space="preserve">The following table summarizes engineering and technical challenges to the development of an audiovisual service for medical simulation.</w:t>
      </w:r>
    </w:p>
    <w:p>
      <w:pPr>
        <w:pStyle w:val="BodyText"/>
      </w:pPr>
      <w:r>
        <w:rPr>
          <w:i/>
          <w:b/>
        </w:rPr>
        <w:t xml:space="preserve">{TABLE}</w:t>
      </w:r>
    </w:p>
    <w:p>
      <w:pPr>
        <w:pStyle w:val="Heading3"/>
      </w:pPr>
      <w:bookmarkStart w:id="37" w:name="patents-and-ownership"/>
      <w:r>
        <w:t xml:space="preserve">Patents and Ownership</w:t>
      </w:r>
      <w:bookmarkEnd w:id="37"/>
    </w:p>
    <w:p>
      <w:pPr>
        <w:pStyle w:val="FirstParagraph"/>
      </w:pPr>
      <w:r>
        <w:t xml:space="preserve">The first digital AV format, H.120, was published by a telecommunications industry group in 1984.</w:t>
      </w:r>
      <w:r>
        <w:rPr>
          <w:rStyle w:val="FootnoteReference"/>
        </w:rPr>
        <w:footnoteReference w:id="38"/>
      </w:r>
      <w:r>
        <w:t xml:space="preserve"> </w:t>
      </w:r>
      <w:r>
        <w:t xml:space="preserve">It was not usable, but a revision to it, H.261, became the first production-ready standard when it was published in 1988. A number of formats were introduced as digital audio and video data proliferated throughout the 1990s but none found the traction of H.261 and its successors, which emerged as the de facto industry standard–studied, licensed, or re-implemented by a majority of avaialble AV formats.</w:t>
      </w:r>
    </w:p>
    <w:p>
      <w:pPr>
        <w:pStyle w:val="BodyText"/>
      </w:pPr>
      <w:r>
        <w:t xml:space="preserve">Numerous free and/or open source options have been introduced concurrent to the rise in popularity of the H.26*/MPEG standards. Generally these can be divided into encoding</w:t>
      </w:r>
      <w:r>
        <w:t xml:space="preserve"> </w:t>
      </w:r>
      <w:r>
        <w:rPr>
          <w:b/>
        </w:rPr>
        <w:t xml:space="preserve">libraries</w:t>
      </w:r>
      <w:r>
        <w:t xml:space="preserve">, such as</w:t>
      </w:r>
      <w:r>
        <w:t xml:space="preserve"> </w:t>
      </w:r>
      <w:r>
        <w:rPr>
          <w:i/>
        </w:rPr>
        <w:t xml:space="preserve">libx264</w:t>
      </w:r>
      <w:r>
        <w:t xml:space="preserve">,</w:t>
      </w:r>
      <w:r>
        <w:t xml:space="preserve"> </w:t>
      </w:r>
      <w:r>
        <w:rPr>
          <w:i/>
        </w:rPr>
        <w:t xml:space="preserve">libx265</w:t>
      </w:r>
      <w:r>
        <w:t xml:space="preserve">, and</w:t>
      </w:r>
      <w:r>
        <w:t xml:space="preserve"> </w:t>
      </w:r>
      <w:r>
        <w:rPr>
          <w:i/>
        </w:rPr>
        <w:t xml:space="preserve">libpvx</w:t>
      </w:r>
      <w:r>
        <w:t xml:space="preserve">–for H.264, H.265, and VP9 respectively–and</w:t>
      </w:r>
      <w:r>
        <w:t xml:space="preserve"> </w:t>
      </w:r>
      <w:r>
        <w:rPr>
          <w:b/>
        </w:rPr>
        <w:t xml:space="preserve">formats</w:t>
      </w:r>
      <w:r>
        <w:t xml:space="preserve">, such as Matroska, Ogg, WebM, and VP9–which define data structures and are used to interpret individual AV files. Here some interesting catch-22s arise</w:t>
      </w:r>
    </w:p>
    <w:p>
      <w:pPr>
        <w:pStyle w:val="Compact"/>
        <w:numPr>
          <w:numId w:val="1033"/>
          <w:ilvl w:val="0"/>
        </w:numPr>
      </w:pPr>
      <w:r>
        <w:t xml:space="preserve">While</w:t>
      </w:r>
      <w:r>
        <w:t xml:space="preserve"> </w:t>
      </w:r>
      <w:r>
        <w:rPr>
          <w:i/>
        </w:rPr>
        <w:t xml:space="preserve">libx264</w:t>
      </w:r>
      <w:r>
        <w:t xml:space="preserve"> </w:t>
      </w:r>
      <w:r>
        <w:t xml:space="preserve">and</w:t>
      </w:r>
      <w:r>
        <w:t xml:space="preserve"> </w:t>
      </w:r>
      <w:r>
        <w:rPr>
          <w:i/>
        </w:rPr>
        <w:t xml:space="preserve">libx265</w:t>
      </w:r>
      <w:r>
        <w:t xml:space="preserve"> </w:t>
      </w:r>
      <w:r>
        <w:t xml:space="preserve">are open sourced and free to use, the H.26*/MPEG family of formats is not; anyone wishing to use them in production must negotiate a license agreement with MPEG LA, the private, for-profit organization that administrates H.26*/MPEG patent pools.</w:t>
      </w:r>
      <w:r>
        <w:rPr>
          <w:rStyle w:val="FootnoteReference"/>
        </w:rPr>
        <w:footnoteReference w:id="39"/>
      </w:r>
    </w:p>
    <w:p>
      <w:pPr>
        <w:pStyle w:val="Compact"/>
        <w:numPr>
          <w:numId w:val="1033"/>
          <w:ilvl w:val="0"/>
        </w:numPr>
      </w:pPr>
      <w:r>
        <w:t xml:space="preserve">Though VP9 is widespread, and the standard format for YouTube, Apple has repeatedly passed on implementing it in Safari for iOS or macOS.</w:t>
      </w:r>
      <w:r>
        <w:rPr>
          <w:rStyle w:val="FootnoteReference"/>
        </w:rPr>
        <w:footnoteReference w:id="40"/>
      </w:r>
      <w:r>
        <w:t xml:space="preserve"> </w:t>
      </w:r>
      <w:r>
        <w:rPr>
          <w:i/>
        </w:rPr>
        <w:t xml:space="preserve">{smartphone market share for Apple at 35%}</w:t>
      </w:r>
      <w:r>
        <w:t xml:space="preserve"> </w:t>
      </w:r>
      <w:r>
        <w:t xml:space="preserve">Given that Apple Chrome and Mozilla, both freely available</w:t>
      </w:r>
    </w:p>
    <w:p>
      <w:pPr>
        <w:pStyle w:val="FirstParagraph"/>
      </w:pPr>
      <w:r>
        <w:t xml:space="preserve">H.26*/MPEG formats are based heavily on patetented technology.</w:t>
      </w:r>
      <w:r>
        <w:rPr>
          <w:rStyle w:val="FootnoteReference"/>
        </w:rPr>
        <w:footnoteReference w:id="42"/>
      </w:r>
      <w:r>
        <w:t xml:space="preserve"> </w:t>
      </w:r>
      <w:r>
        <w:t xml:space="preserve">And while a reasonable number of other formats are available, many require some type of licensing or implement part(s) of an H.26*/MPEG format. A majority of these agreements separate encoding, streaming, and decoding; which allows the introduction of fees at each step in the delivery chain.</w:t>
      </w:r>
      <w:r>
        <w:t xml:space="preserve"> </w:t>
      </w:r>
    </w:p>
    <w:p>
      <w:pPr>
        <w:pStyle w:val="BodyText"/>
      </w:pPr>
      <w:r>
        <w:t xml:space="preserve">Though there are many attractive AV formats, end user device support is limited, at best, for all but a few formats</w:t>
      </w:r>
    </w:p>
    <w:p>
      <w:pPr>
        <w:pStyle w:val="BodyText"/>
      </w:pPr>
      <w:r>
        <w:t xml:space="preserve">For AV content vendors, straying too far from the mean can be severely limiting, while staying near the mean costly.</w:t>
      </w:r>
      <w:r>
        <w:rPr>
          <w:rStyle w:val="FootnoteReference"/>
        </w:rPr>
        <w:footnoteReference w:id="45"/>
      </w:r>
    </w:p>
    <w:p>
      <w:pPr>
        <w:pStyle w:val="Heading3"/>
      </w:pPr>
      <w:bookmarkStart w:id="46" w:name="market-pressures"/>
      <w:r>
        <w:t xml:space="preserve">Market Pressures</w:t>
      </w:r>
      <w:bookmarkEnd w:id="46"/>
    </w:p>
    <w:p>
      <w:pPr>
        <w:pStyle w:val="FirstParagraph"/>
      </w:pPr>
      <w:r>
        <w:t xml:space="preserve">Research and development of AV technology occurs in a niche market protective of Intellectual Property (IP) where there is no clear incentive for collaboration and large device manufacturers have considerable influence over standard adoption. Reporting in October 2017 for August 2017 data, smartphone market shares for Apple and Samsung were 35.0% and 35.2% respectively.</w:t>
      </w:r>
      <w:r>
        <w:rPr>
          <w:rStyle w:val="FootnoteReference"/>
        </w:rPr>
        <w:footnoteReference w:id="47"/>
      </w:r>
      <w:r>
        <w:t xml:space="preserve"> </w:t>
      </w:r>
      <w:r>
        <w:t xml:space="preserve">Several of Samsung’s devices already support the High Efficiency Video Codec (HEVC), and Apple formally announced HEVC adoption for their devices in June of 2017.</w:t>
      </w:r>
    </w:p>
    <w:p>
      <w:pPr>
        <w:pStyle w:val="BodyText"/>
      </w:pPr>
      <w:r>
        <w:t xml:space="preserve">AV transmission standards largely concern the owners of content delivery services, who charge for the privilege of access to users of their networks. From 2006 to 2016, internet advertising revenues in</w:t>
      </w:r>
      <w:r>
        <w:t xml:space="preserve"> </w:t>
      </w:r>
      <w:r>
        <w:rPr>
          <w:i/>
        </w:rPr>
        <w:t xml:space="preserve">the United States alone</w:t>
      </w:r>
      <w:r>
        <w:t xml:space="preserve"> </w:t>
      </w:r>
      <w:r>
        <w:t xml:space="preserve">grew approximately 429.0% from $16.9 billion to $72.5 billion,</w:t>
      </w:r>
      <w:r>
        <w:rPr>
          <w:rStyle w:val="FootnoteReference"/>
        </w:rPr>
        <w:footnoteReference w:id="49"/>
      </w:r>
      <w:r>
        <w:t xml:space="preserve"> </w:t>
      </w:r>
      <w:r>
        <w:t xml:space="preserve">with the</w:t>
      </w:r>
      <w:r>
        <w:t xml:space="preserve"> </w:t>
      </w:r>
      <w:r>
        <w:t xml:space="preserve">“</w:t>
      </w:r>
      <w:r>
        <w:t xml:space="preserve">top ten</w:t>
      </w:r>
      <w:r>
        <w:t xml:space="preserve">”</w:t>
      </w:r>
      <w:r>
        <w:t xml:space="preserve"> </w:t>
      </w:r>
      <w:r>
        <w:t xml:space="preserve">(10) companies commanding 69-75% of revenue over the same period.</w:t>
      </w:r>
      <w:r>
        <w:rPr>
          <w:rStyle w:val="FootnoteReference"/>
        </w:rPr>
        <w:footnoteReference w:id="51"/>
      </w:r>
      <w:r>
        <w:t xml:space="preserve"> </w:t>
      </w:r>
      <w:r>
        <w:t xml:space="preserve">In this case standardization is a revenue optimization strategy: the more devices end users own which support the standard, the larger the potential customer pool for advertisers.</w:t>
      </w:r>
    </w:p>
    <w:p>
      <w:pPr>
        <w:pStyle w:val="Heading2"/>
      </w:pPr>
      <w:bookmarkStart w:id="52" w:name="references"/>
      <w:r>
        <w:t xml:space="preserve">References</w:t>
      </w:r>
      <w:bookmarkEnd w:id="52"/>
    </w:p>
    <w:bookmarkStart w:id="63" w:name="refs"/>
    <w:bookmarkStart w:id="53" w:name="ref-CCITT:1988:incollection"/>
    <w:p>
      <w:pPr>
        <w:pStyle w:val="Bibliography"/>
      </w:pP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International Telecommunication Union, 1988.</w:t>
      </w:r>
    </w:p>
    <w:bookmarkEnd w:id="53"/>
    <w:bookmarkStart w:id="54" w:name="ref-Fingas:2017:online"/>
    <w:p>
      <w:pPr>
        <w:pStyle w:val="Bibliography"/>
      </w:pPr>
      <w:r>
        <w:t xml:space="preserve">Fingas, Roger. “Apple TV 4K Won’t Play 4K YouTube Videos Because of Missing Google Codec,” September 2017.</w:t>
      </w:r>
      <w:r>
        <w:t xml:space="preserve"> </w:t>
      </w:r>
      <w:hyperlink r:id="rId41">
        <w:r>
          <w:rPr>
            <w:rStyle w:val="Hyperlink"/>
          </w:rPr>
          <w:t xml:space="preserve">http://appleinsider.com/articles/17/09/21/apple-tv-4k-wont-play-4k-youtube-videos-because-of-missing-google-codec</w:t>
        </w:r>
      </w:hyperlink>
      <w:r>
        <w:t xml:space="preserve">.</w:t>
      </w:r>
    </w:p>
    <w:bookmarkEnd w:id="54"/>
    <w:bookmarkStart w:id="55" w:name="ref-KantarAppleMarketShare:2017:online"/>
    <w:p>
      <w:pPr>
        <w:pStyle w:val="Bibliography"/>
      </w:pPr>
      <w:r>
        <w:t xml:space="preserve">Kanter Worldpanel ComTech. “Kantar: Samsung at Three-Year High in Great Britain, Apple Growth up in US,” 2017.</w:t>
      </w:r>
      <w:r>
        <w:t xml:space="preserve"> </w:t>
      </w:r>
      <w:hyperlink r:id="rId48">
        <w:r>
          <w:rPr>
            <w:rStyle w:val="Hyperlink"/>
          </w:rPr>
          <w:t xml:space="preserve">http://www.marketwired.com/press-release/kantar-samsung-at-three-year-high-in-great-britain-apple-growth-up-in-us-2237025.htm</w:t>
        </w:r>
      </w:hyperlink>
      <w:r>
        <w:t xml:space="preserve">.</w:t>
      </w:r>
    </w:p>
    <w:bookmarkEnd w:id="55"/>
    <w:bookmarkStart w:id="56"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56"/>
    <w:bookmarkStart w:id="57"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57"/>
    <w:bookmarkStart w:id="58" w:name="ref-AVCPatents:2017:misc"/>
    <w:p>
      <w:pPr>
        <w:pStyle w:val="Bibliography"/>
      </w:pPr>
      <w:r>
        <w:t xml:space="preserve">MPEG LA, LLC. “AVC Patent List: AVC Attachment 1,” 2017.</w:t>
      </w:r>
      <w:r>
        <w:t xml:space="preserve"> </w:t>
      </w:r>
      <w:hyperlink r:id="rId43">
        <w:r>
          <w:rPr>
            <w:rStyle w:val="Hyperlink"/>
          </w:rPr>
          <w:t xml:space="preserve">http://www.mpegla.com/main/programs/AVC/Documents/avc-att1.pdf</w:t>
        </w:r>
      </w:hyperlink>
      <w:r>
        <w:t xml:space="preserve">.</w:t>
      </w:r>
    </w:p>
    <w:bookmarkEnd w:id="58"/>
    <w:bookmarkStart w:id="59" w:name="ref-HEVCPatents:2017:misc"/>
    <w:p>
      <w:pPr>
        <w:pStyle w:val="Bibliography"/>
      </w:pPr>
      <w:r>
        <w:t xml:space="preserve">———. “HEVC Patent List: HEVC Attachment 1,” 2017.</w:t>
      </w:r>
      <w:r>
        <w:t xml:space="preserve"> </w:t>
      </w:r>
      <w:hyperlink r:id="rId44">
        <w:r>
          <w:rPr>
            <w:rStyle w:val="Hyperlink"/>
          </w:rPr>
          <w:t xml:space="preserve">http://www.mpegla.com/main/programs/HEVC/Documents/hevc-att1.pdf</w:t>
        </w:r>
      </w:hyperlink>
      <w:r>
        <w:t xml:space="preserve">.</w:t>
      </w:r>
    </w:p>
    <w:bookmarkEnd w:id="59"/>
    <w:bookmarkStart w:id="60" w:name="ref-IABRevenueReport:2017:online"/>
    <w:p>
      <w:pPr>
        <w:pStyle w:val="Bibliography"/>
      </w:pPr>
      <w:r>
        <w:t xml:space="preserve">PwC Advisory Services LLC, and Interactive Advertising Bureau. “IAB Internet Advertising Revenue Report: 2016 Full Year Results,” April 2017.</w:t>
      </w:r>
      <w:r>
        <w:t xml:space="preserve"> </w:t>
      </w:r>
      <w:hyperlink r:id="rId50">
        <w:r>
          <w:rPr>
            <w:rStyle w:val="Hyperlink"/>
          </w:rPr>
          <w:t xml:space="preserve">https://www.iab.com/wp-content/uploads/2016/04/IAB_Internet_Advertising_Revenue_Report_FY_2016.pdf</w:t>
        </w:r>
      </w:hyperlink>
      <w:r>
        <w:t xml:space="preserve">.</w:t>
      </w:r>
    </w:p>
    <w:bookmarkEnd w:id="60"/>
    <w:bookmarkStart w:id="61" w:name="ref-McGaghie:2011:article"/>
    <w:p>
      <w:pPr>
        <w:pStyle w:val="Bibliography"/>
      </w:pPr>
      <w:r>
        <w:t xml:space="preserve">William C. McGaghie, PhD, MD S. Barry Issenberg, Elaine R. Cohen, MD Jeffrey H. Barsuk, and MD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61"/>
    <w:bookmarkStart w:id="62" w:name="ref-Zimmerman:2017:online"/>
    <w:p>
      <w:pPr>
        <w:pStyle w:val="Bibliography"/>
      </w:pPr>
      <w:r>
        <w:t xml:space="preserve">Zimmerman, Steven.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5">
    <w:p>
      <w:pPr>
        <w:pStyle w:val="FootnoteText"/>
      </w:pPr>
      <w:r>
        <w:rPr>
          <w:rStyle w:val="FootnoteReference"/>
        </w:rPr>
        <w:footnoteRef/>
      </w:r>
      <w:r>
        <w:t xml:space="preserve"> </w:t>
      </w:r>
      <w:r>
        <w:rPr>
          <w:b/>
        </w:rPr>
        <w:t xml:space="preserve">THIS NEEDS A CITATION!!</w:t>
      </w:r>
    </w:p>
  </w:footnote>
  <w:footnote w:id="26">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7">
    <w:p>
      <w:pPr>
        <w:pStyle w:val="FootnoteText"/>
      </w:pPr>
      <w:r>
        <w:rPr>
          <w:rStyle w:val="FootnoteReference"/>
        </w:rPr>
        <w:footnoteRef/>
      </w:r>
      <w:r>
        <w:t xml:space="preserve"> </w:t>
      </w:r>
      <w:r>
        <w:t xml:space="preserve">PhD 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8">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9">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footnote>
  <w:footnote w:id="31">
    <w:p>
      <w:pPr>
        <w:pStyle w:val="FootnoteText"/>
      </w:pPr>
      <w:r>
        <w:rPr>
          <w:rStyle w:val="FootnoteReference"/>
        </w:rPr>
        <w:footnoteRef/>
      </w:r>
      <w:r>
        <w:t xml:space="preserve"> </w:t>
      </w:r>
      <w:r>
        <w:t xml:space="preserve">As an example, see advertisers’ use of megapixel calcuations for advertising digital cameras.</w:t>
      </w:r>
    </w:p>
  </w:footnote>
  <w:footnote w:id="32">
    <w:p>
      <w:pPr>
        <w:pStyle w:val="FootnoteText"/>
      </w:pPr>
      <w:r>
        <w:rPr>
          <w:rStyle w:val="FootnoteReference"/>
        </w:rPr>
        <w:footnoteRef/>
      </w:r>
      <w:r>
        <w:t xml:space="preserve"> </w:t>
      </w:r>
      <w:r>
        <w:rPr>
          <w:b/>
        </w:rPr>
        <w:t xml:space="preserve">THIS NEEDS A CITATION!!</w:t>
      </w:r>
    </w:p>
  </w:footnote>
  <w:footnote w:id="35">
    <w:p>
      <w:pPr>
        <w:pStyle w:val="FootnoteText"/>
      </w:pPr>
      <w:r>
        <w:rPr>
          <w:rStyle w:val="FootnoteReference"/>
        </w:rPr>
        <w:footnoteRef/>
      </w:r>
      <w:r>
        <w:t xml:space="preserve"> </w:t>
      </w:r>
      <w:r>
        <w:t xml:space="preserve">See</w:t>
      </w:r>
      <w:r>
        <w:t xml:space="preserve"> </w:t>
      </w:r>
      <w:r>
        <w:rPr>
          <w:i/>
        </w:rPr>
        <w:t xml:space="preserve">Engineering and Technical Challenges</w:t>
      </w:r>
      <w:r>
        <w:t xml:space="preserve"> </w:t>
      </w:r>
      <w:r>
        <w:t xml:space="preserve">below.</w:t>
      </w:r>
    </w:p>
  </w:footnote>
  <w:footnote w:id="38">
    <w:p>
      <w:pPr>
        <w:pStyle w:val="FootnoteText"/>
      </w:pPr>
      <w:r>
        <w:rPr>
          <w:rStyle w:val="FootnoteReference"/>
        </w:rPr>
        <w:footnoteRef/>
      </w:r>
      <w:r>
        <w:t xml:space="preserve"> </w:t>
      </w:r>
      <w:r>
        <w:t xml:space="preserve">CCITT: The International Telegraph and Telephone Consultative Committe, “Codecs for Videoconferencing Using Primary Digital Group Transmission: Recommendation H.120,” in</w:t>
      </w:r>
      <w:r>
        <w:t xml:space="preserve"> </w:t>
      </w:r>
      <w:r>
        <w:rPr>
          <w:i/>
        </w:rPr>
        <w:t xml:space="preserve">Series H: Audiovisual and Multimedia Systems: Characteristics of Visual Telephone Systems</w:t>
      </w:r>
      <w:r>
        <w:t xml:space="preserve"> </w:t>
      </w:r>
      <w:r>
        <w:t xml:space="preserve">(International Telecommunication Union, 1988), 1.</w:t>
      </w:r>
    </w:p>
  </w:footnote>
  <w:footnote w:id="39">
    <w:p>
      <w:pPr>
        <w:pStyle w:val="FootnoteText"/>
      </w:pPr>
      <w:r>
        <w:rPr>
          <w:rStyle w:val="FootnoteReference"/>
        </w:rPr>
        <w:footnoteRef/>
      </w:r>
      <w:r>
        <w:t xml:space="preserve"> </w:t>
      </w:r>
      <w:r>
        <w:t xml:space="preserve">See http://www.mpegla.com/main/Pages/AboutHistory.aspx.</w:t>
      </w:r>
    </w:p>
  </w:footnote>
  <w:footnote w:id="40">
    <w:p>
      <w:pPr>
        <w:pStyle w:val="FootnoteText"/>
      </w:pPr>
      <w:r>
        <w:rPr>
          <w:rStyle w:val="FootnoteReference"/>
        </w:rPr>
        <w:footnoteRef/>
      </w:r>
      <w:r>
        <w:t xml:space="preserve"> </w:t>
      </w:r>
      <w:r>
        <w:t xml:space="preserve">Roger Fingas, “Apple TV 4K Won’t Play 4K YouTube Videos Because of Missing Google Codec,” September 2017,</w:t>
      </w:r>
      <w:r>
        <w:t xml:space="preserve"> </w:t>
      </w:r>
      <w:hyperlink r:id="rId41">
        <w:r>
          <w:rPr>
            <w:rStyle w:val="Hyperlink"/>
          </w:rPr>
          <w:t xml:space="preserve">http://appleinsider.com/articles/17/09/21/apple-tv-4k-wont-play-4k-youtube-videos-because-of-missing-google-codec</w:t>
        </w:r>
      </w:hyperlink>
      <w:r>
        <w:t xml:space="preserve">.</w:t>
      </w:r>
    </w:p>
  </w:footnote>
  <w:footnote w:id="42">
    <w:p>
      <w:pPr>
        <w:pStyle w:val="FootnoteText"/>
      </w:pPr>
      <w:r>
        <w:rPr>
          <w:rStyle w:val="FootnoteReference"/>
        </w:rPr>
        <w:footnoteRef/>
      </w:r>
      <w:r>
        <w:t xml:space="preserve"> </w:t>
      </w:r>
      <w:r>
        <w:t xml:space="preserve">The patent list for the most common format as of this writing, AVC/H.264, is 112 pages.,</w:t>
      </w:r>
      <w:r>
        <w:t xml:space="preserve"> </w:t>
      </w:r>
      <w:r>
        <w:t xml:space="preserve">MPEG LA, LLC, “AVC Patent List: AVC Attachment 1,” 2017,</w:t>
      </w:r>
      <w:r>
        <w:t xml:space="preserve"> </w:t>
      </w:r>
      <w:hyperlink r:id="rId43">
        <w:r>
          <w:rPr>
            <w:rStyle w:val="Hyperlink"/>
          </w:rPr>
          <w:t xml:space="preserve">http://www.mpegla.com/main/programs/AVC/Documents/avc-att1.pdf</w:t>
        </w:r>
      </w:hyperlink>
      <w:r>
        <w:t xml:space="preserve">.</w:t>
      </w:r>
      <w:r>
        <w:t xml:space="preserve"> </w:t>
      </w:r>
      <w:r>
        <w:t xml:space="preserve">The patent list for it’s successor, HEVC/H.265, is 91 pages.,</w:t>
      </w:r>
      <w:r>
        <w:t xml:space="preserve"> </w:t>
      </w:r>
      <w:r>
        <w:t xml:space="preserve">MPEG LA, LLC, “HEVC Patent List: HEVC Attachment 1,” 2017,</w:t>
      </w:r>
      <w:r>
        <w:t xml:space="preserve"> </w:t>
      </w:r>
      <w:hyperlink r:id="rId44">
        <w:r>
          <w:rPr>
            <w:rStyle w:val="Hyperlink"/>
          </w:rPr>
          <w:t xml:space="preserve">http://www.mpegla.com/main/programs/HEVC/Documents/hevc-att1.pdf</w:t>
        </w:r>
      </w:hyperlink>
    </w:p>
  </w:footnote>
  <w:footnote w:id="45">
    <w:p>
      <w:pPr>
        <w:pStyle w:val="FootnoteText"/>
      </w:pPr>
      <w:r>
        <w:rPr>
          <w:rStyle w:val="FootnoteReference"/>
        </w:rPr>
        <w:footnoteRef/>
      </w:r>
      <w:r>
        <w:t xml:space="preserve"> </w:t>
      </w:r>
      <w:r>
        <w:rPr>
          <w:b/>
        </w:rPr>
        <w:t xml:space="preserve">THIS NEEDS A CITATION!!</w:t>
      </w:r>
    </w:p>
  </w:footnote>
  <w:footnote w:id="47">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48">
        <w:r>
          <w:rPr>
            <w:rStyle w:val="Hyperlink"/>
          </w:rPr>
          <w:t xml:space="preserve">http://www.marketwired.com/press-release/kantar-samsung-at-three-year-high-in-great-britain-apple-growth-up-in-us-2237025.htm</w:t>
        </w:r>
      </w:hyperlink>
      <w:r>
        <w:t xml:space="preserve">.</w:t>
      </w:r>
    </w:p>
  </w:footnote>
  <w:footnote w:id="49">
    <w:p>
      <w:pPr>
        <w:pStyle w:val="FootnoteText"/>
      </w:pPr>
      <w:r>
        <w:rPr>
          <w:rStyle w:val="FootnoteReference"/>
        </w:rPr>
        <w:footnoteRef/>
      </w:r>
      <w:r>
        <w:t xml:space="preserve"> </w:t>
      </w:r>
      <w:r>
        <w:t xml:space="preserve">PwC Advisory Services LLC and Interactive Advertising Bureau, “IAB Internet Advertising Revenue Report: 2016 Full Year Results,” April 2017, 5,</w:t>
      </w:r>
      <w:r>
        <w:t xml:space="preserve"> </w:t>
      </w:r>
      <w:hyperlink r:id="rId50">
        <w:r>
          <w:rPr>
            <w:rStyle w:val="Hyperlink"/>
          </w:rPr>
          <w:t xml:space="preserve">https://www.iab.com/wp-content/uploads/2016/04/IAB_Internet_Advertising_Revenue_Report_FY_2016.pdf</w:t>
        </w:r>
      </w:hyperlink>
      <w:r>
        <w:t xml:space="preserve">.</w:t>
      </w:r>
    </w:p>
  </w:footnote>
  <w:footnote w:id="51">
    <w:p>
      <w:pPr>
        <w:pStyle w:val="FootnoteText"/>
      </w:pPr>
      <w:r>
        <w:rPr>
          <w:rStyle w:val="FootnoteReference"/>
        </w:rPr>
        <w:footnoteRef/>
      </w:r>
      <w:r>
        <w:t xml:space="preserve"> </w:t>
      </w:r>
      <w:r>
        <w:t xml:space="preserve">PwC Advisory Services LLC and Interactive Advertising Bureau, 9.</w:t>
      </w:r>
    </w:p>
  </w:footnote>
</w:footnotes>
</file>

<file path=word/numbering.xml><?xml version="1.0" encoding="utf-8"?>
<w:numbering xmlns:w="http://schemas.openxmlformats.org/wordprocessingml/2006/main">
  <w:abstractNum w:abstractNumId="990">
    <w:nsid w:val="e976c6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64d4a2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29c7aa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ppleinsider.com/articles/17/09/21/apple-tv-4k-wont-play-4k-youtube-videos-because-of-missing-google-codec" TargetMode="External" /><Relationship Type="http://schemas.openxmlformats.org/officeDocument/2006/relationships/hyperlink" Id="rId48" Target="http://www.marketwired.com/press-release/kantar-samsung-at-three-year-high-in-great-britain-apple-growth-up-in-us-2237025.htm" TargetMode="External" /><Relationship Type="http://schemas.openxmlformats.org/officeDocument/2006/relationships/hyperlink" Id="rId43" Target="http://www.mpegla.com/main/programs/AVC/Documents/avc-att1.pdf" TargetMode="External" /><Relationship Type="http://schemas.openxmlformats.org/officeDocument/2006/relationships/hyperlink" Id="rId44" Target="http://www.mpegla.com/main/programs/HEVC/Documents/hevc-att1.pdf" TargetMode="External" /><Relationship Type="http://schemas.openxmlformats.org/officeDocument/2006/relationships/hyperlink" Id="rId22" Target="https://www.apache.org/licenses/LICENSE-2.0" TargetMode="External" /><Relationship Type="http://schemas.openxmlformats.org/officeDocument/2006/relationships/hyperlink" Id="rId50" Target="https://www.iab.com/wp-content/uploads/2016/04/IAB_Internet_Advertising_Revenue_Report_FY_2016.pdf" TargetMode="External" /><Relationship Type="http://schemas.openxmlformats.org/officeDocument/2006/relationships/hyperlink" Id="rId30"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41" Target="http://appleinsider.com/articles/17/09/21/apple-tv-4k-wont-play-4k-youtube-videos-because-of-missing-google-codec" TargetMode="External" /><Relationship Type="http://schemas.openxmlformats.org/officeDocument/2006/relationships/hyperlink" Id="rId48" Target="http://www.marketwired.com/press-release/kantar-samsung-at-three-year-high-in-great-britain-apple-growth-up-in-us-2237025.htm" TargetMode="External" /><Relationship Type="http://schemas.openxmlformats.org/officeDocument/2006/relationships/hyperlink" Id="rId43" Target="http://www.mpegla.com/main/programs/AVC/Documents/avc-att1.pdf" TargetMode="External" /><Relationship Type="http://schemas.openxmlformats.org/officeDocument/2006/relationships/hyperlink" Id="rId44" Target="http://www.mpegla.com/main/programs/HEVC/Documents/hevc-att1.pdf" TargetMode="External" /><Relationship Type="http://schemas.openxmlformats.org/officeDocument/2006/relationships/hyperlink" Id="rId22" Target="https://www.apache.org/licenses/LICENSE-2.0" TargetMode="External" /><Relationship Type="http://schemas.openxmlformats.org/officeDocument/2006/relationships/hyperlink" Id="rId50" Target="https://www.iab.com/wp-content/uploads/2016/04/IAB_Internet_Advertising_Revenue_Report_FY_2016.pdf" TargetMode="External" /><Relationship Type="http://schemas.openxmlformats.org/officeDocument/2006/relationships/hyperlink" Id="rId30"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White Paper</dc:title>
  <dc:creator>Jason A. Grafft</dc:creator>
  <cp:keywords/>
  <dcterms:created xsi:type="dcterms:W3CDTF">2017-11-11T01:38:08Z</dcterms:created>
  <dcterms:modified xsi:type="dcterms:W3CDTF">2017-11-11T01:38:08Z</dcterms:modified>
</cp:coreProperties>
</file>