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r>
        <w:t>Doxygen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&lt;shape xmlns:android="http://schemas.android.com/apk/res/android"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android:shape="rectangle"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android:width="2dp"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android:color="#cdcdcd"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D547D6" w:rsidRDefault="00BE6490" w:rsidP="00D547D6">
      <w:pPr>
        <w:pStyle w:val="ListParagraph"/>
        <w:numPr>
          <w:ilvl w:val="0"/>
          <w:numId w:val="2"/>
        </w:num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>ndroid app in Android Studio</w:t>
      </w:r>
      <w:r>
        <w:t xml:space="preserve"> </w:t>
      </w:r>
      <w:hyperlink r:id="rId11" w:history="1">
        <w:r w:rsidRPr="00BE6490">
          <w:rPr>
            <w:rStyle w:val="Hyperlink"/>
          </w:rPr>
          <w:t>https://www.youtube.com/watch?v=bJjHgWjiAKw</w:t>
        </w:r>
      </w:hyperlink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2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3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4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15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16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03C5A"/>
    <w:rsid w:val="001467F6"/>
    <w:rsid w:val="00185D39"/>
    <w:rsid w:val="001C034C"/>
    <w:rsid w:val="00210B89"/>
    <w:rsid w:val="00294196"/>
    <w:rsid w:val="00357595"/>
    <w:rsid w:val="003A2C42"/>
    <w:rsid w:val="004E7BAA"/>
    <w:rsid w:val="005B285E"/>
    <w:rsid w:val="0071216A"/>
    <w:rsid w:val="00770D91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A2604B"/>
    <w:rsid w:val="00BE6490"/>
    <w:rsid w:val="00C10A73"/>
    <w:rsid w:val="00C14B9D"/>
    <w:rsid w:val="00C77229"/>
    <w:rsid w:val="00CA2416"/>
    <w:rsid w:val="00CB0E3D"/>
    <w:rsid w:val="00D547D6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www.istockphoto.com/photo/this-better-have-loads-of-action-in-it-gm158220812-2239020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go.com/logos/artificial-intellige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indpng.com/picc/m/13-130835_credit-card-credit-card-vector-png-transparent-png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JjHgWjiAK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pload.wikimedia.org/wikipedia/commons/a/a4/Paypal_2014_logo.png" TargetMode="External"/><Relationship Id="rId10" Type="http://schemas.openxmlformats.org/officeDocument/2006/relationships/hyperlink" Target="https://developer.android.com/develop/ui/views/text-and-emoji/fonts-in-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commons.wikimedia.org/wiki/File:Eo_circle_green_checkmark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28</cp:revision>
  <dcterms:created xsi:type="dcterms:W3CDTF">2024-08-26T11:09:00Z</dcterms:created>
  <dcterms:modified xsi:type="dcterms:W3CDTF">2024-10-11T16:57:00Z</dcterms:modified>
</cp:coreProperties>
</file>